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18" w:rsidRDefault="00324D18" w:rsidP="00324D1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noProof/>
          <w:sz w:val="24"/>
          <w:szCs w:val="24"/>
        </w:rPr>
        <w:drawing>
          <wp:inline distT="0" distB="0" distL="0" distR="0">
            <wp:extent cx="1307747" cy="900000"/>
            <wp:effectExtent l="0" t="0" r="698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74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18" w:rsidRDefault="00324D18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</w:p>
    <w:p w:rsidR="006D69A2" w:rsidRPr="00141EA6" w:rsidRDefault="006D69A2" w:rsidP="006D69A2">
      <w:pPr>
        <w:spacing w:after="0" w:line="240" w:lineRule="auto"/>
        <w:jc w:val="center"/>
        <w:rPr>
          <w:rFonts w:ascii="Times New Roman" w:hAnsi="Times New Roman" w:cs="Tahoma"/>
          <w:b/>
          <w:sz w:val="30"/>
          <w:szCs w:val="30"/>
        </w:rPr>
      </w:pPr>
      <w:r w:rsidRPr="00141EA6">
        <w:rPr>
          <w:rFonts w:ascii="Times New Roman" w:hAnsi="Times New Roman" w:cs="Tahoma"/>
          <w:b/>
          <w:sz w:val="30"/>
          <w:szCs w:val="30"/>
        </w:rPr>
        <w:t>8,3 miliardi di risparmi inviati in patria dagli immigrati in Italia</w:t>
      </w:r>
    </w:p>
    <w:p w:rsidR="009001D2" w:rsidRPr="006D69A2" w:rsidRDefault="00141EA6" w:rsidP="006D69A2">
      <w:pPr>
        <w:spacing w:after="0" w:line="240" w:lineRule="auto"/>
        <w:jc w:val="center"/>
        <w:rPr>
          <w:rFonts w:ascii="Times New Roman" w:hAnsi="Times New Roman" w:cs="Tahoma"/>
          <w:b/>
          <w:sz w:val="26"/>
          <w:szCs w:val="26"/>
        </w:rPr>
      </w:pPr>
      <w:r w:rsidRPr="006D69A2">
        <w:rPr>
          <w:rFonts w:ascii="Times New Roman" w:hAnsi="Times New Roman" w:cs="Tahoma"/>
          <w:b/>
          <w:sz w:val="26"/>
          <w:szCs w:val="26"/>
        </w:rPr>
        <w:t>Un quarto verso Bangladesh e Pakistan</w:t>
      </w:r>
      <w:r>
        <w:rPr>
          <w:rFonts w:ascii="Times New Roman" w:hAnsi="Times New Roman" w:cs="Tahoma"/>
          <w:b/>
          <w:sz w:val="26"/>
          <w:szCs w:val="26"/>
        </w:rPr>
        <w:t xml:space="preserve">. </w:t>
      </w:r>
      <w:r w:rsidR="00800C7D">
        <w:rPr>
          <w:rFonts w:ascii="Times New Roman" w:hAnsi="Times New Roman" w:cs="Tahoma"/>
          <w:b/>
          <w:sz w:val="26"/>
          <w:szCs w:val="26"/>
        </w:rPr>
        <w:t>F</w:t>
      </w:r>
      <w:r w:rsidR="00800C7D" w:rsidRPr="006D69A2">
        <w:rPr>
          <w:rFonts w:ascii="Times New Roman" w:hAnsi="Times New Roman" w:cs="Tahoma"/>
          <w:b/>
          <w:sz w:val="26"/>
          <w:szCs w:val="26"/>
        </w:rPr>
        <w:t>ino a 12 miliardi</w:t>
      </w:r>
      <w:r w:rsidR="00800C7D" w:rsidRPr="006D69A2">
        <w:rPr>
          <w:rFonts w:ascii="Times New Roman" w:hAnsi="Times New Roman" w:cs="Tahoma"/>
          <w:b/>
          <w:sz w:val="26"/>
          <w:szCs w:val="26"/>
        </w:rPr>
        <w:t xml:space="preserve"> </w:t>
      </w:r>
      <w:r w:rsidR="00800C7D">
        <w:rPr>
          <w:rFonts w:ascii="Times New Roman" w:hAnsi="Times New Roman" w:cs="Tahoma"/>
          <w:b/>
          <w:sz w:val="26"/>
          <w:szCs w:val="26"/>
        </w:rPr>
        <w:t>c</w:t>
      </w:r>
      <w:r w:rsidR="006D69A2" w:rsidRPr="006D69A2">
        <w:rPr>
          <w:rFonts w:ascii="Times New Roman" w:hAnsi="Times New Roman" w:cs="Tahoma"/>
          <w:b/>
          <w:sz w:val="26"/>
          <w:szCs w:val="26"/>
        </w:rPr>
        <w:t xml:space="preserve">on </w:t>
      </w:r>
      <w:r>
        <w:rPr>
          <w:rFonts w:ascii="Times New Roman" w:hAnsi="Times New Roman" w:cs="Tahoma"/>
          <w:b/>
          <w:sz w:val="26"/>
          <w:szCs w:val="26"/>
        </w:rPr>
        <w:t>i flussi</w:t>
      </w:r>
      <w:r w:rsidR="006D69A2" w:rsidRPr="006D69A2">
        <w:rPr>
          <w:rFonts w:ascii="Times New Roman" w:hAnsi="Times New Roman" w:cs="Tahoma"/>
          <w:b/>
          <w:sz w:val="26"/>
          <w:szCs w:val="26"/>
        </w:rPr>
        <w:t xml:space="preserve"> “invisibili” </w:t>
      </w:r>
    </w:p>
    <w:p w:rsidR="006D69A2" w:rsidRPr="009001D2" w:rsidRDefault="006D69A2" w:rsidP="006D69A2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227C0F" w:rsidRDefault="00800C7D" w:rsidP="00227C0F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I risparmi degli immigrati</w:t>
      </w:r>
      <w:r w:rsidR="006D69A2">
        <w:rPr>
          <w:rFonts w:ascii="Times New Roman" w:hAnsi="Times New Roman" w:cs="Tahoma"/>
          <w:b/>
          <w:sz w:val="24"/>
          <w:szCs w:val="24"/>
        </w:rPr>
        <w:t xml:space="preserve">. </w:t>
      </w:r>
      <w:r w:rsidR="006D69A2">
        <w:rPr>
          <w:rFonts w:ascii="Times New Roman" w:hAnsi="Times New Roman" w:cs="Tahoma"/>
          <w:sz w:val="24"/>
          <w:szCs w:val="24"/>
        </w:rPr>
        <w:t>Secondo i dati del</w:t>
      </w:r>
      <w:r w:rsidR="006F1336">
        <w:rPr>
          <w:rFonts w:ascii="Times New Roman" w:hAnsi="Times New Roman" w:cs="Tahoma"/>
          <w:sz w:val="24"/>
          <w:szCs w:val="24"/>
        </w:rPr>
        <w:t xml:space="preserve">la </w:t>
      </w:r>
      <w:r w:rsidR="00227C0F">
        <w:rPr>
          <w:rFonts w:ascii="Times New Roman" w:hAnsi="Times New Roman" w:cs="Tahoma"/>
          <w:sz w:val="24"/>
          <w:szCs w:val="24"/>
        </w:rPr>
        <w:t>Banca d’Italia</w:t>
      </w:r>
      <w:r w:rsidR="00141EA6">
        <w:rPr>
          <w:rFonts w:ascii="Times New Roman" w:hAnsi="Times New Roman" w:cs="Tahoma"/>
          <w:sz w:val="24"/>
          <w:szCs w:val="24"/>
        </w:rPr>
        <w:t xml:space="preserve"> elaborati dalla Fondazione Leone Moressa</w:t>
      </w:r>
      <w:r w:rsidR="00D76DC2">
        <w:rPr>
          <w:rFonts w:ascii="Times New Roman" w:hAnsi="Times New Roman" w:cs="Tahoma"/>
          <w:sz w:val="24"/>
          <w:szCs w:val="24"/>
        </w:rPr>
        <w:t xml:space="preserve">, </w:t>
      </w:r>
      <w:r w:rsidR="00391DF9" w:rsidRPr="007128C1">
        <w:rPr>
          <w:rFonts w:ascii="Times New Roman" w:hAnsi="Times New Roman" w:cs="Tahoma"/>
          <w:sz w:val="24"/>
          <w:szCs w:val="24"/>
        </w:rPr>
        <w:t>nel 202</w:t>
      </w:r>
      <w:r w:rsidR="00391DF9">
        <w:rPr>
          <w:rFonts w:ascii="Times New Roman" w:hAnsi="Times New Roman" w:cs="Tahoma"/>
          <w:sz w:val="24"/>
          <w:szCs w:val="24"/>
        </w:rPr>
        <w:t>4</w:t>
      </w:r>
      <w:r w:rsidR="00391DF9" w:rsidRPr="007128C1">
        <w:rPr>
          <w:rFonts w:ascii="Times New Roman" w:hAnsi="Times New Roman" w:cs="Tahoma"/>
          <w:sz w:val="24"/>
          <w:szCs w:val="24"/>
        </w:rPr>
        <w:t xml:space="preserve"> il volume delle rimesse inviate </w:t>
      </w:r>
      <w:r>
        <w:rPr>
          <w:rFonts w:ascii="Times New Roman" w:hAnsi="Times New Roman" w:cs="Tahoma"/>
          <w:sz w:val="24"/>
          <w:szCs w:val="24"/>
        </w:rPr>
        <w:t xml:space="preserve">in patria </w:t>
      </w:r>
      <w:r>
        <w:rPr>
          <w:rFonts w:ascii="Times New Roman" w:hAnsi="Times New Roman" w:cs="Tahoma"/>
          <w:sz w:val="24"/>
          <w:szCs w:val="24"/>
        </w:rPr>
        <w:t>dalle famiglie immigrate</w:t>
      </w:r>
      <w:r w:rsidRPr="007128C1">
        <w:rPr>
          <w:rFonts w:ascii="Times New Roman" w:hAnsi="Times New Roman" w:cs="Tahoma"/>
          <w:sz w:val="24"/>
          <w:szCs w:val="24"/>
        </w:rPr>
        <w:t xml:space="preserve"> </w:t>
      </w:r>
      <w:r>
        <w:rPr>
          <w:rFonts w:ascii="Times New Roman" w:hAnsi="Times New Roman" w:cs="Tahoma"/>
          <w:sz w:val="24"/>
          <w:szCs w:val="24"/>
        </w:rPr>
        <w:t xml:space="preserve">in </w:t>
      </w:r>
      <w:r w:rsidR="00391DF9" w:rsidRPr="007128C1">
        <w:rPr>
          <w:rFonts w:ascii="Times New Roman" w:hAnsi="Times New Roman" w:cs="Tahoma"/>
          <w:sz w:val="24"/>
          <w:szCs w:val="24"/>
        </w:rPr>
        <w:t xml:space="preserve">Italia è stato pari a </w:t>
      </w:r>
      <w:r w:rsidR="00391DF9" w:rsidRPr="00391DF9">
        <w:rPr>
          <w:rFonts w:ascii="Times New Roman" w:hAnsi="Times New Roman" w:cs="Tahoma"/>
          <w:b/>
          <w:sz w:val="24"/>
          <w:szCs w:val="24"/>
        </w:rPr>
        <w:t>8,3 miliardi</w:t>
      </w:r>
      <w:r>
        <w:rPr>
          <w:rFonts w:ascii="Times New Roman" w:hAnsi="Times New Roman" w:cs="Tahoma"/>
          <w:sz w:val="24"/>
          <w:szCs w:val="24"/>
        </w:rPr>
        <w:t>.</w:t>
      </w:r>
      <w:r w:rsidR="00391DF9" w:rsidRPr="007128C1">
        <w:rPr>
          <w:rFonts w:ascii="Times New Roman" w:hAnsi="Times New Roman" w:cs="Tahoma"/>
          <w:sz w:val="24"/>
          <w:szCs w:val="24"/>
        </w:rPr>
        <w:t xml:space="preserve"> </w:t>
      </w:r>
      <w:r>
        <w:rPr>
          <w:rFonts w:ascii="Times New Roman" w:hAnsi="Times New Roman" w:cs="Tahoma"/>
          <w:sz w:val="24"/>
          <w:szCs w:val="24"/>
        </w:rPr>
        <w:t>Inoltre, utilizzando</w:t>
      </w:r>
      <w:r w:rsidR="00391DF9">
        <w:rPr>
          <w:rFonts w:ascii="Times New Roman" w:hAnsi="Times New Roman" w:cs="Tahoma"/>
          <w:sz w:val="24"/>
          <w:szCs w:val="24"/>
        </w:rPr>
        <w:t xml:space="preserve"> il modello della Banca d’Italia per la misurazione delle rimesse informali, si può stimare un </w:t>
      </w:r>
      <w:r w:rsidR="00391DF9" w:rsidRPr="00391DF9">
        <w:rPr>
          <w:rFonts w:ascii="Times New Roman" w:hAnsi="Times New Roman" w:cs="Tahoma"/>
          <w:b/>
          <w:sz w:val="24"/>
          <w:szCs w:val="24"/>
        </w:rPr>
        <w:t>flusso “invisibile” compreso tra 1,2 e 3,7 miliardi di euro</w:t>
      </w:r>
      <w:r w:rsidR="00391DF9">
        <w:rPr>
          <w:rFonts w:ascii="Times New Roman" w:hAnsi="Times New Roman" w:cs="Tahoma"/>
          <w:sz w:val="24"/>
          <w:szCs w:val="24"/>
        </w:rPr>
        <w:t xml:space="preserve">, che porterebbe il </w:t>
      </w:r>
      <w:r w:rsidR="00391DF9" w:rsidRPr="00391DF9">
        <w:rPr>
          <w:rFonts w:ascii="Times New Roman" w:hAnsi="Times New Roman" w:cs="Tahoma"/>
          <w:b/>
          <w:sz w:val="24"/>
          <w:szCs w:val="24"/>
        </w:rPr>
        <w:t>volume complessivo tra 9,5 e 12,0 miliardi</w:t>
      </w:r>
      <w:r w:rsidR="00391DF9">
        <w:rPr>
          <w:rFonts w:ascii="Times New Roman" w:hAnsi="Times New Roman" w:cs="Tahoma"/>
          <w:sz w:val="24"/>
          <w:szCs w:val="24"/>
        </w:rPr>
        <w:t>.</w:t>
      </w:r>
    </w:p>
    <w:p w:rsidR="00227C0F" w:rsidRDefault="00227C0F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A817D4" w:rsidRPr="00A817D4" w:rsidRDefault="004A2D2A" w:rsidP="006F133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 w:rsidRPr="004A2D2A">
        <w:rPr>
          <w:rFonts w:ascii="Times New Roman" w:hAnsi="Times New Roman" w:cs="Tahoma"/>
          <w:b/>
          <w:sz w:val="24"/>
          <w:szCs w:val="24"/>
        </w:rPr>
        <w:t xml:space="preserve">Stabilizzazione post-Covid. </w:t>
      </w:r>
      <w:r>
        <w:rPr>
          <w:rFonts w:ascii="Times New Roman" w:hAnsi="Times New Roman" w:cs="Tahoma"/>
          <w:sz w:val="24"/>
          <w:szCs w:val="24"/>
        </w:rPr>
        <w:t>I</w:t>
      </w:r>
      <w:r w:rsidR="00C11C80" w:rsidRPr="00A817D4">
        <w:rPr>
          <w:rFonts w:ascii="Times New Roman" w:hAnsi="Times New Roman" w:cs="Tahoma"/>
          <w:sz w:val="24"/>
          <w:szCs w:val="24"/>
        </w:rPr>
        <w:t xml:space="preserve">l volume delle rimesse ha </w:t>
      </w:r>
      <w:r>
        <w:rPr>
          <w:rFonts w:ascii="Times New Roman" w:hAnsi="Times New Roman" w:cs="Tahoma"/>
          <w:sz w:val="24"/>
          <w:szCs w:val="24"/>
        </w:rPr>
        <w:t xml:space="preserve">registrato un aumento tra il </w:t>
      </w:r>
      <w:r w:rsidR="00C11C80" w:rsidRPr="00A817D4">
        <w:rPr>
          <w:rFonts w:ascii="Times New Roman" w:hAnsi="Times New Roman" w:cs="Tahoma"/>
          <w:sz w:val="24"/>
          <w:szCs w:val="24"/>
        </w:rPr>
        <w:t>2017</w:t>
      </w:r>
      <w:r>
        <w:rPr>
          <w:rFonts w:ascii="Times New Roman" w:hAnsi="Times New Roman" w:cs="Tahoma"/>
          <w:sz w:val="24"/>
          <w:szCs w:val="24"/>
        </w:rPr>
        <w:t xml:space="preserve"> e il 2021. </w:t>
      </w:r>
    </w:p>
    <w:p w:rsidR="00132AAA" w:rsidRDefault="004A2D2A" w:rsidP="006F133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È </w:t>
      </w:r>
      <w:r w:rsidR="00132AAA" w:rsidRPr="00A817D4">
        <w:rPr>
          <w:rFonts w:ascii="Times New Roman" w:hAnsi="Times New Roman" w:cs="Tahoma"/>
          <w:sz w:val="24"/>
          <w:szCs w:val="24"/>
        </w:rPr>
        <w:t xml:space="preserve">ipotizzabile che i valori del 2020 e del 2021 siano stati influenzati dalle misure di limitazione della mobilità internazionale, che hanno ridotto le rimesse “invisibili” e quindi aumentato quelle formali. </w:t>
      </w:r>
      <w:r w:rsidR="00A817D4" w:rsidRPr="00A817D4">
        <w:rPr>
          <w:rFonts w:ascii="Times New Roman" w:hAnsi="Times New Roman" w:cs="Tahoma"/>
          <w:sz w:val="24"/>
          <w:szCs w:val="24"/>
        </w:rPr>
        <w:t xml:space="preserve">Già dal 2022, </w:t>
      </w:r>
      <w:r w:rsidR="00132AAA" w:rsidRPr="00A817D4">
        <w:rPr>
          <w:rFonts w:ascii="Times New Roman" w:hAnsi="Times New Roman" w:cs="Tahoma"/>
          <w:sz w:val="24"/>
          <w:szCs w:val="24"/>
        </w:rPr>
        <w:t>a seguito della ripresa post-pandemi</w:t>
      </w:r>
      <w:r w:rsidR="00A817D4" w:rsidRPr="00A817D4">
        <w:rPr>
          <w:rFonts w:ascii="Times New Roman" w:hAnsi="Times New Roman" w:cs="Tahoma"/>
          <w:sz w:val="24"/>
          <w:szCs w:val="24"/>
        </w:rPr>
        <w:t>c</w:t>
      </w:r>
      <w:r w:rsidR="00132AAA" w:rsidRPr="00A817D4">
        <w:rPr>
          <w:rFonts w:ascii="Times New Roman" w:hAnsi="Times New Roman" w:cs="Tahoma"/>
          <w:sz w:val="24"/>
          <w:szCs w:val="24"/>
        </w:rPr>
        <w:t>a, si può ipotizzare che siano tornate ad aumentare anche le rimesse “invisibili”</w:t>
      </w:r>
      <w:r w:rsidR="00A817D4" w:rsidRPr="00A817D4">
        <w:rPr>
          <w:rFonts w:ascii="Times New Roman" w:hAnsi="Times New Roman" w:cs="Tahoma"/>
          <w:sz w:val="24"/>
          <w:szCs w:val="24"/>
        </w:rPr>
        <w:t>, determinando un riequilibrio dei flussi finanziari</w:t>
      </w:r>
      <w:r w:rsidR="00132AAA" w:rsidRPr="00A817D4">
        <w:rPr>
          <w:rFonts w:ascii="Times New Roman" w:hAnsi="Times New Roman" w:cs="Tahoma"/>
          <w:sz w:val="24"/>
          <w:szCs w:val="24"/>
        </w:rPr>
        <w:t>.</w:t>
      </w:r>
    </w:p>
    <w:p w:rsidR="006D69A2" w:rsidRDefault="006D69A2" w:rsidP="006F133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6D69A2" w:rsidRPr="00212AED" w:rsidRDefault="004A2D2A" w:rsidP="004A2D2A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Bangladesh e Pakistan le principali destinazioni. </w:t>
      </w:r>
      <w:r>
        <w:rPr>
          <w:rFonts w:ascii="Times New Roman" w:hAnsi="Times New Roman" w:cs="Times New Roman"/>
          <w:sz w:val="24"/>
          <w:szCs w:val="24"/>
        </w:rPr>
        <w:t xml:space="preserve">Nel </w:t>
      </w:r>
      <w:r w:rsidR="006D69A2" w:rsidRPr="00212AED">
        <w:rPr>
          <w:rFonts w:ascii="Times New Roman" w:hAnsi="Times New Roman" w:cs="Tahoma"/>
          <w:sz w:val="24"/>
          <w:szCs w:val="24"/>
        </w:rPr>
        <w:t>2024, il Bangladesh si conferma la prima destinazione con 1,4 miliardi di euro, pari al 16,9% del totale. Seguono Pakistan e Marocco, rispettivamente con 600 e 575 milioni. Questi tre Paesi registrano tutti un trend fortemente positivo negli ultimi dieci anni</w:t>
      </w:r>
      <w:r>
        <w:rPr>
          <w:rFonts w:ascii="Times New Roman" w:hAnsi="Times New Roman" w:cs="Tahoma"/>
          <w:sz w:val="24"/>
          <w:szCs w:val="24"/>
        </w:rPr>
        <w:t>.</w:t>
      </w:r>
      <w:r w:rsidR="006D69A2" w:rsidRPr="00212AED">
        <w:rPr>
          <w:rFonts w:ascii="Times New Roman" w:hAnsi="Times New Roman" w:cs="Tahoma"/>
          <w:sz w:val="24"/>
          <w:szCs w:val="24"/>
        </w:rPr>
        <w:t xml:space="preserve"> </w:t>
      </w:r>
    </w:p>
    <w:p w:rsidR="004A2D2A" w:rsidRDefault="004A2D2A" w:rsidP="006D69A2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6D69A2" w:rsidRPr="00212AED" w:rsidRDefault="004A2D2A" w:rsidP="006D69A2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 w:rsidRPr="004A2D2A">
        <w:rPr>
          <w:rFonts w:ascii="Times New Roman" w:hAnsi="Times New Roman" w:cs="Tahoma"/>
          <w:b/>
          <w:sz w:val="24"/>
          <w:szCs w:val="24"/>
        </w:rPr>
        <w:t>Boom della Georgia, scomparsa la Cina.</w:t>
      </w:r>
      <w:r>
        <w:rPr>
          <w:rFonts w:ascii="Times New Roman" w:hAnsi="Times New Roman" w:cs="Tahoma"/>
          <w:sz w:val="24"/>
          <w:szCs w:val="24"/>
        </w:rPr>
        <w:t xml:space="preserve"> Le rimesse verso la </w:t>
      </w:r>
      <w:r w:rsidR="006D69A2" w:rsidRPr="00212AED">
        <w:rPr>
          <w:rFonts w:ascii="Times New Roman" w:hAnsi="Times New Roman" w:cs="Tahoma"/>
          <w:sz w:val="24"/>
          <w:szCs w:val="24"/>
        </w:rPr>
        <w:t xml:space="preserve">Georgia </w:t>
      </w:r>
      <w:r>
        <w:rPr>
          <w:rFonts w:ascii="Times New Roman" w:hAnsi="Times New Roman" w:cs="Tahoma"/>
          <w:sz w:val="24"/>
          <w:szCs w:val="24"/>
        </w:rPr>
        <w:t xml:space="preserve">sono passate </w:t>
      </w:r>
      <w:r w:rsidR="006D69A2" w:rsidRPr="00212AED">
        <w:rPr>
          <w:rFonts w:ascii="Times New Roman" w:hAnsi="Times New Roman" w:cs="Tahoma"/>
          <w:sz w:val="24"/>
          <w:szCs w:val="24"/>
        </w:rPr>
        <w:t>da 91 milioni a 501 milioni in dieci anni (aumento di più di cinque volte)</w:t>
      </w:r>
      <w:r>
        <w:rPr>
          <w:rFonts w:ascii="Times New Roman" w:hAnsi="Times New Roman" w:cs="Tahoma"/>
          <w:sz w:val="24"/>
          <w:szCs w:val="24"/>
        </w:rPr>
        <w:t xml:space="preserve">, nonostante </w:t>
      </w:r>
      <w:r w:rsidR="006D69A2" w:rsidRPr="00212AED">
        <w:rPr>
          <w:rFonts w:ascii="Times New Roman" w:hAnsi="Times New Roman" w:cs="Tahoma"/>
          <w:sz w:val="24"/>
          <w:szCs w:val="24"/>
        </w:rPr>
        <w:t>una popolazione residente in Italia di appena 30 mila abitanti. Fuori dalle prime 20 posizioni troviamo invece la Cina, con appena 4 milioni di euro inviati in patria nel 202</w:t>
      </w:r>
      <w:r>
        <w:rPr>
          <w:rFonts w:ascii="Times New Roman" w:hAnsi="Times New Roman" w:cs="Tahoma"/>
          <w:sz w:val="24"/>
          <w:szCs w:val="24"/>
        </w:rPr>
        <w:t>4, a fronte di una popolazione di oltre 300 mila residenti</w:t>
      </w:r>
      <w:r w:rsidR="006D69A2" w:rsidRPr="00212AED">
        <w:rPr>
          <w:rFonts w:ascii="Times New Roman" w:hAnsi="Times New Roman" w:cs="Tahoma"/>
          <w:sz w:val="24"/>
          <w:szCs w:val="24"/>
        </w:rPr>
        <w:t xml:space="preserve">. </w:t>
      </w:r>
      <w:r w:rsidR="00800C7D">
        <w:rPr>
          <w:rFonts w:ascii="Times New Roman" w:hAnsi="Times New Roman" w:cs="Tahoma"/>
          <w:sz w:val="24"/>
          <w:szCs w:val="24"/>
        </w:rPr>
        <w:t xml:space="preserve">Fino al </w:t>
      </w:r>
      <w:r w:rsidR="006D69A2" w:rsidRPr="00212AED">
        <w:rPr>
          <w:rFonts w:ascii="Times New Roman" w:hAnsi="Times New Roman" w:cs="Tahoma"/>
          <w:sz w:val="24"/>
          <w:szCs w:val="24"/>
        </w:rPr>
        <w:t xml:space="preserve">2013 la Cina era la prima destinazione delle rimesse, con picchi di oltre 3 miliardi </w:t>
      </w:r>
      <w:r w:rsidR="00800C7D">
        <w:rPr>
          <w:rFonts w:ascii="Times New Roman" w:hAnsi="Times New Roman" w:cs="Tahoma"/>
          <w:sz w:val="24"/>
          <w:szCs w:val="24"/>
        </w:rPr>
        <w:t xml:space="preserve">inviati </w:t>
      </w:r>
      <w:r w:rsidR="006D69A2" w:rsidRPr="00212AED">
        <w:rPr>
          <w:rFonts w:ascii="Times New Roman" w:hAnsi="Times New Roman" w:cs="Tahoma"/>
          <w:sz w:val="24"/>
          <w:szCs w:val="24"/>
        </w:rPr>
        <w:t>nel 2011 e 2012.</w:t>
      </w:r>
    </w:p>
    <w:p w:rsidR="006D69A2" w:rsidRDefault="006D69A2" w:rsidP="006F133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141EA6" w:rsidRDefault="00141EA6" w:rsidP="00141EA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Valori pro-capite</w:t>
      </w:r>
      <w:r w:rsidR="004A2D2A" w:rsidRPr="004A2D2A">
        <w:rPr>
          <w:rFonts w:ascii="Times New Roman" w:hAnsi="Times New Roman" w:cs="Tahoma"/>
          <w:b/>
          <w:sz w:val="24"/>
          <w:szCs w:val="24"/>
        </w:rPr>
        <w:t>.</w:t>
      </w:r>
      <w:r w:rsidR="004A2D2A">
        <w:rPr>
          <w:rFonts w:ascii="Times New Roman" w:hAnsi="Times New Roman" w:cs="Tahoma"/>
          <w:sz w:val="24"/>
          <w:szCs w:val="24"/>
        </w:rPr>
        <w:t xml:space="preserve"> </w:t>
      </w:r>
      <w:r>
        <w:rPr>
          <w:rFonts w:ascii="Times New Roman" w:hAnsi="Times New Roman" w:cs="Tahoma"/>
          <w:sz w:val="24"/>
          <w:szCs w:val="24"/>
        </w:rPr>
        <w:t xml:space="preserve">Rapportando le rimesse alla popolazione straniera in Italia, </w:t>
      </w:r>
      <w:r w:rsidRPr="00800C7D">
        <w:rPr>
          <w:rFonts w:ascii="Times New Roman" w:hAnsi="Times New Roman" w:cs="Tahoma"/>
          <w:b/>
          <w:sz w:val="24"/>
          <w:szCs w:val="24"/>
        </w:rPr>
        <w:t xml:space="preserve">mediamente ciascun cittadino </w:t>
      </w:r>
      <w:r w:rsidR="00800C7D" w:rsidRPr="00800C7D">
        <w:rPr>
          <w:rFonts w:ascii="Times New Roman" w:hAnsi="Times New Roman" w:cs="Tahoma"/>
          <w:b/>
          <w:sz w:val="24"/>
          <w:szCs w:val="24"/>
        </w:rPr>
        <w:t xml:space="preserve">immigrato </w:t>
      </w:r>
      <w:r w:rsidRPr="00800C7D">
        <w:rPr>
          <w:rFonts w:ascii="Times New Roman" w:hAnsi="Times New Roman" w:cs="Tahoma"/>
          <w:b/>
          <w:sz w:val="24"/>
          <w:szCs w:val="24"/>
        </w:rPr>
        <w:t>invia in patria 131 euro al mese</w:t>
      </w:r>
      <w:r>
        <w:rPr>
          <w:rFonts w:ascii="Times New Roman" w:hAnsi="Times New Roman" w:cs="Tahoma"/>
          <w:sz w:val="24"/>
          <w:szCs w:val="24"/>
        </w:rPr>
        <w:t xml:space="preserve">. Tra </w:t>
      </w:r>
      <w:r w:rsidR="006D69A2" w:rsidRPr="001C624D">
        <w:rPr>
          <w:rFonts w:ascii="Times New Roman" w:hAnsi="Times New Roman" w:cs="Tahoma"/>
          <w:sz w:val="24"/>
          <w:szCs w:val="24"/>
        </w:rPr>
        <w:t xml:space="preserve">le prime 20 comunità straniere presenti in Italia, i valori </w:t>
      </w:r>
      <w:r>
        <w:rPr>
          <w:rFonts w:ascii="Times New Roman" w:hAnsi="Times New Roman" w:cs="Tahoma"/>
          <w:sz w:val="24"/>
          <w:szCs w:val="24"/>
        </w:rPr>
        <w:t xml:space="preserve">pro-capite </w:t>
      </w:r>
      <w:r w:rsidR="006D69A2" w:rsidRPr="001C624D">
        <w:rPr>
          <w:rFonts w:ascii="Times New Roman" w:hAnsi="Times New Roman" w:cs="Tahoma"/>
          <w:sz w:val="24"/>
          <w:szCs w:val="24"/>
        </w:rPr>
        <w:t xml:space="preserve">massimi si registrano tra i cittadini del Bangladesh (604 euro </w:t>
      </w:r>
      <w:r>
        <w:rPr>
          <w:rFonts w:ascii="Times New Roman" w:hAnsi="Times New Roman" w:cs="Tahoma"/>
          <w:sz w:val="24"/>
          <w:szCs w:val="24"/>
        </w:rPr>
        <w:t>mensili</w:t>
      </w:r>
      <w:r w:rsidR="006D69A2" w:rsidRPr="001C624D">
        <w:rPr>
          <w:rFonts w:ascii="Times New Roman" w:hAnsi="Times New Roman" w:cs="Tahoma"/>
          <w:sz w:val="24"/>
          <w:szCs w:val="24"/>
        </w:rPr>
        <w:t xml:space="preserve"> pro-capite). Anche Pakistan e Filippine registrano valori superiori a 300 euro mensili pro-capite. </w:t>
      </w:r>
      <w:r>
        <w:rPr>
          <w:rFonts w:ascii="Times New Roman" w:hAnsi="Times New Roman" w:cs="Tahoma"/>
          <w:sz w:val="24"/>
          <w:szCs w:val="24"/>
        </w:rPr>
        <w:t>S</w:t>
      </w:r>
      <w:r w:rsidR="006D69A2" w:rsidRPr="001C624D">
        <w:rPr>
          <w:rFonts w:ascii="Times New Roman" w:hAnsi="Times New Roman" w:cs="Tahoma"/>
          <w:sz w:val="24"/>
          <w:szCs w:val="24"/>
        </w:rPr>
        <w:t xml:space="preserve">otto la media, invece, i Paesi </w:t>
      </w:r>
      <w:r>
        <w:rPr>
          <w:rFonts w:ascii="Times New Roman" w:hAnsi="Times New Roman" w:cs="Tahoma"/>
          <w:sz w:val="24"/>
          <w:szCs w:val="24"/>
        </w:rPr>
        <w:t xml:space="preserve">più vicini come </w:t>
      </w:r>
      <w:r w:rsidR="00800C7D">
        <w:rPr>
          <w:rFonts w:ascii="Times New Roman" w:hAnsi="Times New Roman" w:cs="Tahoma"/>
          <w:sz w:val="24"/>
          <w:szCs w:val="24"/>
        </w:rPr>
        <w:t xml:space="preserve">quelli del </w:t>
      </w:r>
      <w:r w:rsidR="006D69A2" w:rsidRPr="001C624D">
        <w:rPr>
          <w:rFonts w:ascii="Times New Roman" w:hAnsi="Times New Roman" w:cs="Tahoma"/>
          <w:sz w:val="24"/>
          <w:szCs w:val="24"/>
        </w:rPr>
        <w:t xml:space="preserve">Nord Africa </w:t>
      </w:r>
      <w:r>
        <w:rPr>
          <w:rFonts w:ascii="Times New Roman" w:hAnsi="Times New Roman" w:cs="Tahoma"/>
          <w:sz w:val="24"/>
          <w:szCs w:val="24"/>
        </w:rPr>
        <w:t>e</w:t>
      </w:r>
      <w:r w:rsidR="00800C7D">
        <w:rPr>
          <w:rFonts w:ascii="Times New Roman" w:hAnsi="Times New Roman" w:cs="Tahoma"/>
          <w:sz w:val="24"/>
          <w:szCs w:val="24"/>
        </w:rPr>
        <w:t xml:space="preserve"> </w:t>
      </w:r>
      <w:r>
        <w:rPr>
          <w:rFonts w:ascii="Times New Roman" w:hAnsi="Times New Roman" w:cs="Tahoma"/>
          <w:sz w:val="24"/>
          <w:szCs w:val="24"/>
        </w:rPr>
        <w:t>d</w:t>
      </w:r>
      <w:r w:rsidR="00800C7D">
        <w:rPr>
          <w:rFonts w:ascii="Times New Roman" w:hAnsi="Times New Roman" w:cs="Tahoma"/>
          <w:sz w:val="24"/>
          <w:szCs w:val="24"/>
        </w:rPr>
        <w:t>ell’</w:t>
      </w:r>
      <w:r w:rsidR="006D69A2" w:rsidRPr="001C624D">
        <w:rPr>
          <w:rFonts w:ascii="Times New Roman" w:hAnsi="Times New Roman" w:cs="Tahoma"/>
          <w:sz w:val="24"/>
          <w:szCs w:val="24"/>
        </w:rPr>
        <w:t>Est Europa</w:t>
      </w:r>
      <w:r>
        <w:rPr>
          <w:rFonts w:ascii="Times New Roman" w:hAnsi="Times New Roman" w:cs="Tahoma"/>
          <w:sz w:val="24"/>
          <w:szCs w:val="24"/>
        </w:rPr>
        <w:t xml:space="preserve">, in cui è ipotizzabile </w:t>
      </w:r>
      <w:r w:rsidR="006D69A2" w:rsidRPr="001C624D">
        <w:rPr>
          <w:rFonts w:ascii="Times New Roman" w:hAnsi="Times New Roman" w:cs="Tahoma"/>
          <w:sz w:val="24"/>
          <w:szCs w:val="24"/>
        </w:rPr>
        <w:t xml:space="preserve">un peso significativo delle cosiddette rimesse “invisibili”. </w:t>
      </w:r>
    </w:p>
    <w:p w:rsidR="00141EA6" w:rsidRDefault="00141EA6" w:rsidP="00141EA6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</w:p>
    <w:p w:rsidR="006D69A2" w:rsidRPr="001C624D" w:rsidRDefault="006D69A2" w:rsidP="006D69A2">
      <w:pPr>
        <w:spacing w:after="0" w:line="240" w:lineRule="auto"/>
        <w:jc w:val="both"/>
      </w:pPr>
      <w:r w:rsidRPr="0062554E">
        <w:rPr>
          <w:rFonts w:ascii="Times New Roman" w:hAnsi="Times New Roman" w:cs="Tahoma"/>
          <w:b/>
          <w:sz w:val="24"/>
          <w:szCs w:val="24"/>
        </w:rPr>
        <w:t>Il dettaglio territoriale</w:t>
      </w:r>
      <w:r w:rsidR="00141EA6">
        <w:rPr>
          <w:rFonts w:ascii="Times New Roman" w:hAnsi="Times New Roman" w:cs="Tahoma"/>
          <w:b/>
          <w:sz w:val="24"/>
          <w:szCs w:val="24"/>
        </w:rPr>
        <w:t xml:space="preserve">. </w:t>
      </w:r>
      <w:r w:rsidR="00141EA6" w:rsidRPr="00141EA6">
        <w:rPr>
          <w:rFonts w:ascii="Times New Roman" w:hAnsi="Times New Roman" w:cs="Tahoma"/>
          <w:sz w:val="24"/>
          <w:szCs w:val="24"/>
        </w:rPr>
        <w:t>O</w:t>
      </w:r>
      <w:r w:rsidRPr="00141EA6">
        <w:rPr>
          <w:rFonts w:ascii="Times New Roman" w:hAnsi="Times New Roman" w:cs="Tahoma"/>
          <w:sz w:val="24"/>
          <w:szCs w:val="24"/>
        </w:rPr>
        <w:t>ltre</w:t>
      </w:r>
      <w:r w:rsidRPr="001C624D">
        <w:rPr>
          <w:rFonts w:ascii="Times New Roman" w:hAnsi="Times New Roman" w:cs="Tahoma"/>
          <w:sz w:val="24"/>
          <w:szCs w:val="24"/>
        </w:rPr>
        <w:t xml:space="preserve"> un quinto delle rimesse parte dalla Lombardia (1,8 miliardi). La seconda Regione è il Lazio, con 1,3 miliardi. Segue l’Emilia-Romagna, con quasi 830 milioni inviati nel 2024.</w:t>
      </w:r>
      <w:r w:rsidR="00141EA6">
        <w:rPr>
          <w:rFonts w:ascii="Times New Roman" w:hAnsi="Times New Roman" w:cs="Tahoma"/>
          <w:sz w:val="24"/>
          <w:szCs w:val="24"/>
        </w:rPr>
        <w:t xml:space="preserve"> </w:t>
      </w:r>
      <w:r w:rsidRPr="001C624D">
        <w:rPr>
          <w:rFonts w:ascii="Times New Roman" w:hAnsi="Times New Roman" w:cs="Tahoma"/>
          <w:sz w:val="24"/>
          <w:szCs w:val="24"/>
        </w:rPr>
        <w:t>A livello di singole province, Roma supera il miliardo di euro inviato nel 2024; segue Milano, con 911 milioni. Quasi un quarto di tutte le rimesse italiane parte da queste due città. Seguono Napoli e Torino, rispettivamente con 424 e 266 milioni di euro.</w:t>
      </w:r>
    </w:p>
    <w:p w:rsidR="006D69A2" w:rsidRDefault="006D69A2" w:rsidP="006D69A2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</w:p>
    <w:p w:rsidR="00141EA6" w:rsidRDefault="00141EA6" w:rsidP="00141EA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Secondo i ricercatori della Fondazione Leone Moressa, “</w:t>
      </w:r>
      <w:r w:rsidRPr="00141EA6">
        <w:rPr>
          <w:rFonts w:ascii="Times New Roman" w:hAnsi="Times New Roman" w:cs="Tahoma"/>
          <w:i/>
          <w:sz w:val="24"/>
          <w:szCs w:val="24"/>
        </w:rPr>
        <w:t xml:space="preserve">L’invio di denaro verso i Paesi d’origine è uno degli strumenti attraverso cui i migranti sostengono i mezzi di sussistenza, rafforzano le economie e contribuiscono direttamente al raggiungimento degli Obiettivi di Sviluppo Sostenibile (SDG). I dati evidenziano una forte diversità tra i diversi Paesi di destinazione, con una vitalità maggiore tra le comunità asiatiche. </w:t>
      </w:r>
      <w:r w:rsidR="009972AA">
        <w:rPr>
          <w:rFonts w:ascii="Times New Roman" w:hAnsi="Times New Roman" w:cs="Tahoma"/>
          <w:i/>
          <w:sz w:val="24"/>
          <w:szCs w:val="24"/>
        </w:rPr>
        <w:t xml:space="preserve">Rilevante </w:t>
      </w:r>
      <w:r w:rsidRPr="00141EA6">
        <w:rPr>
          <w:rFonts w:ascii="Times New Roman" w:hAnsi="Times New Roman" w:cs="Tahoma"/>
          <w:i/>
          <w:sz w:val="24"/>
          <w:szCs w:val="24"/>
        </w:rPr>
        <w:t xml:space="preserve">il peso dei flussi “invisibili”, favoriti </w:t>
      </w:r>
      <w:r w:rsidR="00800C7D">
        <w:rPr>
          <w:rFonts w:ascii="Times New Roman" w:hAnsi="Times New Roman" w:cs="Tahoma"/>
          <w:i/>
          <w:sz w:val="24"/>
          <w:szCs w:val="24"/>
        </w:rPr>
        <w:t xml:space="preserve">dai viaggi verso i Paesi vicini e </w:t>
      </w:r>
      <w:r w:rsidRPr="00141EA6">
        <w:rPr>
          <w:rFonts w:ascii="Times New Roman" w:hAnsi="Times New Roman" w:cs="Tahoma"/>
          <w:i/>
          <w:sz w:val="24"/>
          <w:szCs w:val="24"/>
        </w:rPr>
        <w:t>da</w:t>
      </w:r>
      <w:r w:rsidR="00800C7D">
        <w:rPr>
          <w:rFonts w:ascii="Times New Roman" w:hAnsi="Times New Roman" w:cs="Tahoma"/>
          <w:i/>
          <w:sz w:val="24"/>
          <w:szCs w:val="24"/>
        </w:rPr>
        <w:t>i</w:t>
      </w:r>
      <w:r w:rsidRPr="00141EA6">
        <w:rPr>
          <w:rFonts w:ascii="Times New Roman" w:hAnsi="Times New Roman" w:cs="Tahoma"/>
          <w:i/>
          <w:sz w:val="24"/>
          <w:szCs w:val="24"/>
        </w:rPr>
        <w:t xml:space="preserve"> nuovi strumenti digitali</w:t>
      </w:r>
      <w:r>
        <w:rPr>
          <w:rFonts w:ascii="Times New Roman" w:hAnsi="Times New Roman" w:cs="Tahoma"/>
          <w:sz w:val="24"/>
          <w:szCs w:val="24"/>
        </w:rPr>
        <w:t xml:space="preserve">”. </w:t>
      </w:r>
    </w:p>
    <w:p w:rsidR="00141EA6" w:rsidRDefault="00141EA6" w:rsidP="00141EA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141EA6" w:rsidRDefault="00141EA6" w:rsidP="00141EA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VEDI TABELLE ALLEGATE</w:t>
      </w:r>
      <w:r>
        <w:rPr>
          <w:rFonts w:ascii="Times New Roman" w:hAnsi="Times New Roman" w:cs="Tahoma"/>
          <w:sz w:val="24"/>
          <w:szCs w:val="24"/>
        </w:rPr>
        <w:br w:type="page"/>
      </w:r>
    </w:p>
    <w:p w:rsidR="008D6747" w:rsidRPr="00132AAA" w:rsidRDefault="008D6747">
      <w:pPr>
        <w:spacing w:after="0" w:line="240" w:lineRule="auto"/>
        <w:jc w:val="both"/>
        <w:rPr>
          <w:rFonts w:ascii="Times New Roman" w:hAnsi="Times New Roman" w:cs="Tahoma"/>
          <w:b/>
          <w:i/>
          <w:iCs/>
          <w:sz w:val="24"/>
          <w:szCs w:val="24"/>
        </w:rPr>
      </w:pPr>
    </w:p>
    <w:p w:rsidR="00981EE3" w:rsidRDefault="00996C2C" w:rsidP="008D6747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132AAA">
        <w:rPr>
          <w:rFonts w:ascii="Times New Roman" w:hAnsi="Times New Roman" w:cs="Tahoma"/>
          <w:b/>
          <w:sz w:val="24"/>
          <w:szCs w:val="24"/>
        </w:rPr>
        <w:t xml:space="preserve">Serie storica delle rimesse inviate dall’Italia </w:t>
      </w:r>
      <w:r w:rsidR="003B5FB4" w:rsidRPr="00132AAA">
        <w:rPr>
          <w:rFonts w:ascii="Times New Roman" w:hAnsi="Times New Roman" w:cs="Tahoma"/>
          <w:b/>
          <w:sz w:val="24"/>
          <w:szCs w:val="24"/>
        </w:rPr>
        <w:t xml:space="preserve">(dati </w:t>
      </w:r>
      <w:r w:rsidRPr="00132AAA">
        <w:rPr>
          <w:rFonts w:ascii="Times New Roman" w:hAnsi="Times New Roman" w:cs="Tahoma"/>
          <w:b/>
          <w:sz w:val="24"/>
          <w:szCs w:val="24"/>
        </w:rPr>
        <w:t>in miliardi euro</w:t>
      </w:r>
      <w:r w:rsidR="003B5FB4" w:rsidRPr="00132AAA">
        <w:rPr>
          <w:rFonts w:ascii="Times New Roman" w:hAnsi="Times New Roman" w:cs="Tahoma"/>
          <w:b/>
          <w:sz w:val="24"/>
          <w:szCs w:val="24"/>
        </w:rPr>
        <w:t>)</w:t>
      </w:r>
    </w:p>
    <w:p w:rsidR="002D39D3" w:rsidRPr="00132AAA" w:rsidRDefault="002D39D3" w:rsidP="008D6747">
      <w:pPr>
        <w:spacing w:after="0" w:line="240" w:lineRule="auto"/>
        <w:jc w:val="center"/>
      </w:pPr>
      <w:r w:rsidRPr="002D39D3">
        <w:rPr>
          <w:noProof/>
        </w:rPr>
        <w:drawing>
          <wp:inline distT="0" distB="0" distL="0" distR="0">
            <wp:extent cx="5676900" cy="3724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E3" w:rsidRPr="00132AAA" w:rsidRDefault="00996C2C" w:rsidP="008D674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32AAA">
        <w:rPr>
          <w:rFonts w:ascii="Times New Roman" w:hAnsi="Times New Roman" w:cs="Tahoma"/>
          <w:sz w:val="24"/>
          <w:szCs w:val="24"/>
        </w:rPr>
        <w:t xml:space="preserve">Fonte: </w:t>
      </w:r>
      <w:r w:rsidRPr="00132AAA">
        <w:rPr>
          <w:rFonts w:ascii="Times New Roman" w:hAnsi="Times New Roman" w:cs="Tahoma"/>
          <w:i/>
          <w:iCs/>
          <w:sz w:val="24"/>
          <w:szCs w:val="24"/>
        </w:rPr>
        <w:t>Elaborazioni Fondazione Leone Moressa su dati della Banca d’Italia</w:t>
      </w:r>
    </w:p>
    <w:p w:rsidR="00981EE3" w:rsidRDefault="00981EE3">
      <w:pPr>
        <w:spacing w:after="0" w:line="240" w:lineRule="auto"/>
        <w:jc w:val="center"/>
        <w:rPr>
          <w:rFonts w:ascii="Times New Roman" w:hAnsi="Times New Roman" w:cs="Tahoma"/>
          <w:color w:val="FF0000"/>
          <w:sz w:val="24"/>
          <w:szCs w:val="24"/>
        </w:rPr>
      </w:pPr>
    </w:p>
    <w:p w:rsidR="00391DF9" w:rsidRDefault="00391DF9">
      <w:pPr>
        <w:spacing w:after="0" w:line="240" w:lineRule="auto"/>
        <w:jc w:val="center"/>
        <w:rPr>
          <w:rFonts w:ascii="Times New Roman" w:hAnsi="Times New Roman" w:cs="Tahoma"/>
          <w:color w:val="FF0000"/>
          <w:sz w:val="24"/>
          <w:szCs w:val="24"/>
        </w:rPr>
      </w:pPr>
    </w:p>
    <w:p w:rsidR="00141EA6" w:rsidRDefault="00141EA6">
      <w:pPr>
        <w:spacing w:after="0" w:line="240" w:lineRule="auto"/>
        <w:jc w:val="center"/>
        <w:rPr>
          <w:rFonts w:ascii="Times New Roman" w:hAnsi="Times New Roman" w:cs="Tahoma"/>
          <w:color w:val="FF0000"/>
          <w:sz w:val="24"/>
          <w:szCs w:val="24"/>
        </w:rPr>
      </w:pPr>
    </w:p>
    <w:p w:rsidR="00141EA6" w:rsidRDefault="00141EA6" w:rsidP="00141EA6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Stima delle rimesse totali (incluse “invisibili”)</w:t>
      </w:r>
    </w:p>
    <w:p w:rsidR="00141EA6" w:rsidRDefault="00141EA6">
      <w:pPr>
        <w:spacing w:after="0" w:line="240" w:lineRule="auto"/>
        <w:jc w:val="center"/>
        <w:rPr>
          <w:rFonts w:ascii="Times New Roman" w:hAnsi="Times New Roman" w:cs="Tahoma"/>
          <w:color w:val="FF0000"/>
          <w:sz w:val="24"/>
          <w:szCs w:val="24"/>
        </w:rPr>
      </w:pPr>
    </w:p>
    <w:p w:rsidR="00391DF9" w:rsidRPr="00132AAA" w:rsidRDefault="00391DF9">
      <w:pPr>
        <w:spacing w:after="0" w:line="240" w:lineRule="auto"/>
        <w:jc w:val="center"/>
        <w:rPr>
          <w:rFonts w:ascii="Times New Roman" w:hAnsi="Times New Roman" w:cs="Tahoma"/>
          <w:color w:val="FF0000"/>
          <w:sz w:val="24"/>
          <w:szCs w:val="24"/>
        </w:rPr>
      </w:pPr>
      <w:r w:rsidRPr="00391DF9">
        <w:rPr>
          <w:noProof/>
        </w:rPr>
        <w:drawing>
          <wp:inline distT="0" distB="0" distL="0" distR="0">
            <wp:extent cx="3915591" cy="28800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59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A6" w:rsidRPr="00132AAA" w:rsidRDefault="00141EA6" w:rsidP="00141EA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32AAA">
        <w:rPr>
          <w:rFonts w:ascii="Times New Roman" w:hAnsi="Times New Roman" w:cs="Tahoma"/>
          <w:sz w:val="24"/>
          <w:szCs w:val="24"/>
        </w:rPr>
        <w:t xml:space="preserve">Fonte: </w:t>
      </w:r>
      <w:r w:rsidRPr="00132AAA">
        <w:rPr>
          <w:rFonts w:ascii="Times New Roman" w:hAnsi="Times New Roman" w:cs="Tahoma"/>
          <w:i/>
          <w:iCs/>
          <w:sz w:val="24"/>
          <w:szCs w:val="24"/>
        </w:rPr>
        <w:t>Elaborazioni Fondazione Leone Moressa su dati della Banca d’Italia</w:t>
      </w:r>
    </w:p>
    <w:p w:rsidR="00981EE3" w:rsidRPr="00132AAA" w:rsidRDefault="00981EE3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0311F3" w:rsidRPr="00212AED" w:rsidRDefault="000311F3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141EA6" w:rsidRDefault="00141EA6">
      <w:pPr>
        <w:spacing w:after="0" w:line="240" w:lineRule="auto"/>
        <w:rPr>
          <w:rFonts w:ascii="Times New Roman" w:hAnsi="Times New Roman" w:cs="Tahoma"/>
          <w:color w:val="FF0000"/>
          <w:sz w:val="24"/>
          <w:szCs w:val="24"/>
        </w:rPr>
      </w:pPr>
      <w:r>
        <w:rPr>
          <w:rFonts w:ascii="Times New Roman" w:hAnsi="Times New Roman" w:cs="Tahoma"/>
          <w:color w:val="FF0000"/>
          <w:sz w:val="24"/>
          <w:szCs w:val="24"/>
        </w:rPr>
        <w:br w:type="page"/>
      </w:r>
    </w:p>
    <w:p w:rsidR="000311F3" w:rsidRDefault="000311F3" w:rsidP="000311F3">
      <w:pPr>
        <w:spacing w:after="0" w:line="240" w:lineRule="auto"/>
        <w:rPr>
          <w:rFonts w:ascii="Times New Roman" w:hAnsi="Times New Roman" w:cs="Tahoma"/>
          <w:color w:val="FF0000"/>
          <w:sz w:val="24"/>
          <w:szCs w:val="24"/>
        </w:rPr>
      </w:pPr>
    </w:p>
    <w:p w:rsidR="00981EE3" w:rsidRDefault="00996C2C" w:rsidP="00F20593">
      <w:pPr>
        <w:spacing w:after="0" w:line="36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0311F3">
        <w:rPr>
          <w:rFonts w:ascii="Times New Roman" w:hAnsi="Times New Roman" w:cs="Tahoma"/>
          <w:b/>
          <w:sz w:val="24"/>
          <w:szCs w:val="24"/>
        </w:rPr>
        <w:t>Rimesse inviate dall’Italia per Paese di destinazione, 202</w:t>
      </w:r>
      <w:r w:rsidR="00F20593">
        <w:rPr>
          <w:rFonts w:ascii="Times New Roman" w:hAnsi="Times New Roman" w:cs="Tahoma"/>
          <w:b/>
          <w:sz w:val="24"/>
          <w:szCs w:val="24"/>
        </w:rPr>
        <w:t>4</w:t>
      </w:r>
    </w:p>
    <w:tbl>
      <w:tblPr>
        <w:tblW w:w="90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65"/>
        <w:gridCol w:w="1504"/>
        <w:gridCol w:w="1690"/>
        <w:gridCol w:w="1690"/>
      </w:tblGrid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Primi</w:t>
            </w:r>
          </w:p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 Paesi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Rimesse 2024</w:t>
            </w:r>
          </w:p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(Milioni euro)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2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Distrib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. %</w:t>
            </w:r>
            <w:r w:rsidRPr="00F2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2024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Variazione %</w:t>
            </w:r>
          </w:p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2014-2024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Variazione %</w:t>
            </w:r>
          </w:p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2023-2024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Bangladesh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1.397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16,9%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223,8%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18,9%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Pakistan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7,2%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299,5%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-12,6%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Marocco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6,9%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92,4%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1,4%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Filippine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6,9%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47,1%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-5,7%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Georgia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6,0%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452,9%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8,6%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India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5,4%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65,8%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0,7%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Romania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4,7%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-63,1%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-14,5%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Perù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4,3%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55,4%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7,8%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Sri Lanka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3,9%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53,9%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-1,7%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Senegal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3,6%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1,8%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-12,0%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Nigeria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3,1%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315,2%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-14,5%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Ucraina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2,6%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26,4%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0,8%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Albania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2,2%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17,6%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-1,7%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Ecuador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2,1%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12,0%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-2,5%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Tunisia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1,8%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143,6%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8,7%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Rep. Dominicana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1,8%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19,3%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-4,1%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Egitto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1,7%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461,2%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42,2%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Moldavia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1,7%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34,5%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-4,6%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Colombia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1,3%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18,1%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7,2%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Brasile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1,2%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-20,3%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-1,0%</w:t>
            </w:r>
          </w:p>
        </w:tc>
      </w:tr>
      <w:tr w:rsidR="00F20593" w:rsidRPr="00F20593" w:rsidTr="00F20593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8.285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100,0%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29,9%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593" w:rsidRPr="00F20593" w:rsidRDefault="00F20593" w:rsidP="00F2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F20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0,5%</w:t>
            </w:r>
          </w:p>
        </w:tc>
      </w:tr>
    </w:tbl>
    <w:p w:rsidR="00981EE3" w:rsidRDefault="00996C2C">
      <w:pPr>
        <w:spacing w:after="0" w:line="240" w:lineRule="auto"/>
        <w:jc w:val="center"/>
        <w:rPr>
          <w:rFonts w:ascii="Times New Roman" w:hAnsi="Times New Roman" w:cs="Tahoma"/>
          <w:i/>
          <w:iCs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Fonte: </w:t>
      </w:r>
      <w:r>
        <w:rPr>
          <w:rFonts w:ascii="Times New Roman" w:hAnsi="Times New Roman" w:cs="Tahoma"/>
          <w:i/>
          <w:iCs/>
          <w:sz w:val="24"/>
          <w:szCs w:val="24"/>
        </w:rPr>
        <w:t>Elaborazioni Fondazione Leone Moressa su dati della Banca d’Italia</w:t>
      </w:r>
    </w:p>
    <w:p w:rsidR="00141EA6" w:rsidRDefault="00141EA6">
      <w:pPr>
        <w:spacing w:after="0" w:line="240" w:lineRule="auto"/>
        <w:jc w:val="center"/>
        <w:rPr>
          <w:rFonts w:ascii="Times New Roman" w:hAnsi="Times New Roman" w:cs="Tahoma"/>
          <w:i/>
          <w:iCs/>
          <w:sz w:val="24"/>
          <w:szCs w:val="24"/>
        </w:rPr>
      </w:pPr>
    </w:p>
    <w:p w:rsidR="00141EA6" w:rsidRDefault="00141EA6" w:rsidP="00141EA6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975CCC">
        <w:rPr>
          <w:rFonts w:ascii="Times New Roman" w:hAnsi="Times New Roman" w:cs="Tahoma"/>
          <w:b/>
          <w:sz w:val="24"/>
          <w:szCs w:val="24"/>
        </w:rPr>
        <w:t>Rimesse pro-capite mensili degli immigrati in Italia, valori in euro 202</w:t>
      </w:r>
      <w:r>
        <w:rPr>
          <w:rFonts w:ascii="Times New Roman" w:hAnsi="Times New Roman" w:cs="Tahoma"/>
          <w:b/>
          <w:sz w:val="24"/>
          <w:szCs w:val="24"/>
        </w:rPr>
        <w:t>4</w:t>
      </w:r>
      <w:r w:rsidRPr="00975CCC">
        <w:rPr>
          <w:rFonts w:ascii="Times New Roman" w:hAnsi="Times New Roman" w:cs="Tahoma"/>
          <w:b/>
          <w:sz w:val="24"/>
          <w:szCs w:val="24"/>
        </w:rPr>
        <w:t>*</w:t>
      </w:r>
    </w:p>
    <w:p w:rsidR="00141EA6" w:rsidRPr="00975CCC" w:rsidRDefault="00141EA6" w:rsidP="00141E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34D8">
        <w:rPr>
          <w:noProof/>
        </w:rPr>
        <w:drawing>
          <wp:inline distT="0" distB="0" distL="0" distR="0" wp14:anchorId="3423472C" wp14:editId="486E376E">
            <wp:extent cx="5486400" cy="36195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A6" w:rsidRPr="00EC47EF" w:rsidRDefault="00141EA6" w:rsidP="00141EA6">
      <w:pPr>
        <w:spacing w:after="0" w:line="240" w:lineRule="auto"/>
        <w:jc w:val="both"/>
      </w:pPr>
      <w:r w:rsidRPr="00EC47EF">
        <w:rPr>
          <w:rFonts w:ascii="Times New Roman" w:hAnsi="Times New Roman" w:cs="Tahoma"/>
          <w:sz w:val="24"/>
          <w:szCs w:val="24"/>
        </w:rPr>
        <w:t>*Considerati i primi 20 Paesi per residenti stranieri in Italia al 1° gennaio 202</w:t>
      </w:r>
      <w:r>
        <w:rPr>
          <w:rFonts w:ascii="Times New Roman" w:hAnsi="Times New Roman" w:cs="Tahoma"/>
          <w:sz w:val="24"/>
          <w:szCs w:val="24"/>
        </w:rPr>
        <w:t>4</w:t>
      </w:r>
    </w:p>
    <w:p w:rsidR="00141EA6" w:rsidRPr="00EC47EF" w:rsidRDefault="00141EA6" w:rsidP="00141EA6">
      <w:pPr>
        <w:spacing w:after="0" w:line="240" w:lineRule="auto"/>
        <w:jc w:val="center"/>
      </w:pPr>
      <w:r w:rsidRPr="00EC47EF">
        <w:rPr>
          <w:rFonts w:ascii="Times New Roman" w:hAnsi="Times New Roman" w:cs="Tahoma"/>
          <w:sz w:val="24"/>
          <w:szCs w:val="24"/>
        </w:rPr>
        <w:t xml:space="preserve">Fonte: </w:t>
      </w:r>
      <w:r w:rsidRPr="00EC47EF">
        <w:rPr>
          <w:rFonts w:ascii="Times New Roman" w:hAnsi="Times New Roman" w:cs="Tahoma"/>
          <w:i/>
          <w:iCs/>
          <w:sz w:val="24"/>
          <w:szCs w:val="24"/>
        </w:rPr>
        <w:t>Elaborazioni Fondazione Leone Moressa su dati della Banca d’Italia</w:t>
      </w:r>
    </w:p>
    <w:p w:rsidR="00141EA6" w:rsidRDefault="00141EA6" w:rsidP="00141EA6">
      <w:pPr>
        <w:spacing w:after="0" w:line="240" w:lineRule="auto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br w:type="page"/>
      </w:r>
    </w:p>
    <w:p w:rsidR="00C64657" w:rsidRDefault="00C64657" w:rsidP="00C64657">
      <w:pPr>
        <w:spacing w:after="0" w:line="240" w:lineRule="auto"/>
        <w:rPr>
          <w:rFonts w:ascii="Times New Roman" w:hAnsi="Times New Roman" w:cs="Tahoma"/>
          <w:b/>
          <w:i/>
          <w:iCs/>
          <w:sz w:val="24"/>
          <w:szCs w:val="24"/>
        </w:rPr>
      </w:pPr>
    </w:p>
    <w:p w:rsidR="004E31E4" w:rsidRDefault="004E31E4" w:rsidP="004E31E4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Serie storica delle rimesse, </w:t>
      </w:r>
      <w:r w:rsidR="00851BE0">
        <w:rPr>
          <w:rFonts w:ascii="Times New Roman" w:hAnsi="Times New Roman" w:cs="Tahoma"/>
          <w:b/>
          <w:sz w:val="24"/>
          <w:szCs w:val="24"/>
        </w:rPr>
        <w:t xml:space="preserve">focus </w:t>
      </w:r>
      <w:r w:rsidR="00800C7D">
        <w:rPr>
          <w:rFonts w:ascii="Times New Roman" w:hAnsi="Times New Roman" w:cs="Tahoma"/>
          <w:b/>
          <w:sz w:val="24"/>
          <w:szCs w:val="24"/>
        </w:rPr>
        <w:t xml:space="preserve">su </w:t>
      </w:r>
      <w:r>
        <w:rPr>
          <w:rFonts w:ascii="Times New Roman" w:hAnsi="Times New Roman" w:cs="Tahoma"/>
          <w:b/>
          <w:sz w:val="24"/>
          <w:szCs w:val="24"/>
        </w:rPr>
        <w:t>alcuni Paesi di destinazione</w:t>
      </w:r>
    </w:p>
    <w:p w:rsidR="00C64657" w:rsidRPr="009972AA" w:rsidRDefault="009972AA" w:rsidP="004E31E4">
      <w:pPr>
        <w:spacing w:after="0" w:line="240" w:lineRule="auto"/>
        <w:jc w:val="center"/>
        <w:rPr>
          <w:rFonts w:ascii="Times New Roman" w:hAnsi="Times New Roman" w:cs="Tahoma"/>
          <w:i/>
          <w:sz w:val="24"/>
          <w:szCs w:val="24"/>
        </w:rPr>
      </w:pPr>
      <w:r w:rsidRPr="009972AA">
        <w:rPr>
          <w:rFonts w:ascii="Times New Roman" w:hAnsi="Times New Roman" w:cs="Tahoma"/>
          <w:i/>
          <w:sz w:val="24"/>
          <w:szCs w:val="24"/>
        </w:rPr>
        <w:t xml:space="preserve">Dati in milioni di euro </w:t>
      </w:r>
      <w:r>
        <w:rPr>
          <w:rFonts w:ascii="Times New Roman" w:hAnsi="Times New Roman" w:cs="Tahoma"/>
          <w:i/>
          <w:sz w:val="24"/>
          <w:szCs w:val="24"/>
        </w:rPr>
        <w:t>(</w:t>
      </w:r>
      <w:r w:rsidRPr="009972AA">
        <w:rPr>
          <w:rFonts w:ascii="Times New Roman" w:hAnsi="Times New Roman" w:cs="Tahoma"/>
          <w:i/>
          <w:sz w:val="24"/>
          <w:szCs w:val="24"/>
        </w:rPr>
        <w:t xml:space="preserve">rivalutati </w:t>
      </w:r>
      <w:r>
        <w:rPr>
          <w:rFonts w:ascii="Times New Roman" w:hAnsi="Times New Roman" w:cs="Tahoma"/>
          <w:i/>
          <w:sz w:val="24"/>
          <w:szCs w:val="24"/>
        </w:rPr>
        <w:t>al 2024)</w:t>
      </w:r>
    </w:p>
    <w:p w:rsidR="00981EE3" w:rsidRDefault="00981EE3">
      <w:pPr>
        <w:spacing w:after="0" w:line="240" w:lineRule="auto"/>
      </w:pPr>
    </w:p>
    <w:p w:rsidR="002B208E" w:rsidRPr="002B208E" w:rsidRDefault="002B208E">
      <w:pPr>
        <w:spacing w:after="0" w:line="240" w:lineRule="auto"/>
        <w:rPr>
          <w:rFonts w:ascii="Times New Roman" w:hAnsi="Times New Roman" w:cs="Tahoma"/>
          <w:i/>
          <w:iCs/>
          <w:sz w:val="24"/>
          <w:szCs w:val="24"/>
        </w:rPr>
      </w:pPr>
      <w:r w:rsidRPr="002B208E">
        <w:rPr>
          <w:rFonts w:ascii="Times New Roman" w:hAnsi="Times New Roman" w:cs="Tahoma"/>
          <w:i/>
          <w:iCs/>
          <w:sz w:val="24"/>
          <w:szCs w:val="24"/>
        </w:rPr>
        <w:t>Bangladesh</w:t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  <w:t xml:space="preserve">Pakistan </w:t>
      </w:r>
    </w:p>
    <w:p w:rsidR="002B208E" w:rsidRDefault="002B208E">
      <w:pPr>
        <w:spacing w:after="0" w:line="240" w:lineRule="auto"/>
        <w:jc w:val="both"/>
        <w:rPr>
          <w:rFonts w:ascii="Times New Roman" w:hAnsi="Times New Roman" w:cs="Tahoma"/>
          <w:color w:val="FF0000"/>
          <w:sz w:val="24"/>
          <w:szCs w:val="24"/>
        </w:rPr>
      </w:pPr>
      <w:r w:rsidRPr="002B208E">
        <w:rPr>
          <w:noProof/>
        </w:rPr>
        <w:drawing>
          <wp:inline distT="0" distB="0" distL="0" distR="0">
            <wp:extent cx="6120130" cy="18520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8E" w:rsidRDefault="002B208E">
      <w:pPr>
        <w:spacing w:after="0" w:line="240" w:lineRule="auto"/>
        <w:jc w:val="both"/>
        <w:rPr>
          <w:rFonts w:ascii="Times New Roman" w:hAnsi="Times New Roman" w:cs="Tahoma"/>
          <w:color w:val="FF0000"/>
          <w:sz w:val="24"/>
          <w:szCs w:val="24"/>
        </w:rPr>
      </w:pPr>
    </w:p>
    <w:p w:rsidR="002B208E" w:rsidRPr="002B208E" w:rsidRDefault="002B208E" w:rsidP="002B208E">
      <w:pPr>
        <w:spacing w:after="0" w:line="240" w:lineRule="auto"/>
        <w:rPr>
          <w:rFonts w:ascii="Times New Roman" w:hAnsi="Times New Roman" w:cs="Tahoma"/>
          <w:i/>
          <w:iCs/>
          <w:sz w:val="24"/>
          <w:szCs w:val="24"/>
        </w:rPr>
      </w:pPr>
      <w:r w:rsidRPr="002B208E">
        <w:rPr>
          <w:rFonts w:ascii="Times New Roman" w:hAnsi="Times New Roman" w:cs="Tahoma"/>
          <w:i/>
          <w:iCs/>
          <w:sz w:val="24"/>
          <w:szCs w:val="24"/>
        </w:rPr>
        <w:t>Filippine</w:t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Pr="002B208E">
        <w:rPr>
          <w:rFonts w:ascii="Times New Roman" w:hAnsi="Times New Roman" w:cs="Tahoma"/>
          <w:i/>
          <w:iCs/>
          <w:sz w:val="24"/>
          <w:szCs w:val="24"/>
        </w:rPr>
        <w:tab/>
        <w:t>Romania</w:t>
      </w:r>
    </w:p>
    <w:p w:rsidR="002B208E" w:rsidRDefault="002B208E">
      <w:pPr>
        <w:spacing w:after="0" w:line="240" w:lineRule="auto"/>
        <w:jc w:val="both"/>
        <w:rPr>
          <w:rFonts w:ascii="Times New Roman" w:hAnsi="Times New Roman" w:cs="Tahoma"/>
          <w:color w:val="FF0000"/>
          <w:sz w:val="24"/>
          <w:szCs w:val="24"/>
        </w:rPr>
      </w:pPr>
    </w:p>
    <w:p w:rsidR="002B208E" w:rsidRDefault="002B208E">
      <w:pPr>
        <w:spacing w:after="0" w:line="240" w:lineRule="auto"/>
        <w:jc w:val="both"/>
        <w:rPr>
          <w:rFonts w:ascii="Times New Roman" w:hAnsi="Times New Roman" w:cs="Tahoma"/>
          <w:color w:val="FF0000"/>
          <w:sz w:val="24"/>
          <w:szCs w:val="24"/>
        </w:rPr>
      </w:pPr>
      <w:r w:rsidRPr="002B208E">
        <w:rPr>
          <w:noProof/>
        </w:rPr>
        <w:drawing>
          <wp:inline distT="0" distB="0" distL="0" distR="0">
            <wp:extent cx="6120130" cy="185323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8E" w:rsidRDefault="002B208E">
      <w:pPr>
        <w:spacing w:after="0" w:line="240" w:lineRule="auto"/>
        <w:jc w:val="both"/>
        <w:rPr>
          <w:rFonts w:ascii="Times New Roman" w:hAnsi="Times New Roman" w:cs="Tahoma"/>
          <w:color w:val="FF0000"/>
          <w:sz w:val="24"/>
          <w:szCs w:val="24"/>
        </w:rPr>
      </w:pPr>
    </w:p>
    <w:p w:rsidR="002B208E" w:rsidRPr="002B208E" w:rsidRDefault="004E31E4" w:rsidP="002B208E">
      <w:pPr>
        <w:spacing w:after="0" w:line="240" w:lineRule="auto"/>
        <w:rPr>
          <w:rFonts w:ascii="Times New Roman" w:hAnsi="Times New Roman" w:cs="Tahoma"/>
          <w:i/>
          <w:iCs/>
          <w:sz w:val="24"/>
          <w:szCs w:val="24"/>
        </w:rPr>
      </w:pPr>
      <w:r>
        <w:rPr>
          <w:rFonts w:ascii="Times New Roman" w:hAnsi="Times New Roman" w:cs="Tahoma"/>
          <w:i/>
          <w:iCs/>
          <w:sz w:val="24"/>
          <w:szCs w:val="24"/>
        </w:rPr>
        <w:t>Georgia</w:t>
      </w:r>
      <w:r w:rsidR="002B208E"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="002B208E"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="002B208E"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="002B208E"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="002B208E"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 w:rsidR="002B208E" w:rsidRPr="002B208E">
        <w:rPr>
          <w:rFonts w:ascii="Times New Roman" w:hAnsi="Times New Roman" w:cs="Tahoma"/>
          <w:i/>
          <w:iCs/>
          <w:sz w:val="24"/>
          <w:szCs w:val="24"/>
        </w:rPr>
        <w:tab/>
      </w:r>
      <w:r>
        <w:rPr>
          <w:rFonts w:ascii="Times New Roman" w:hAnsi="Times New Roman" w:cs="Tahoma"/>
          <w:i/>
          <w:iCs/>
          <w:sz w:val="24"/>
          <w:szCs w:val="24"/>
        </w:rPr>
        <w:t>Cina</w:t>
      </w:r>
    </w:p>
    <w:p w:rsidR="002B208E" w:rsidRDefault="002B208E">
      <w:pPr>
        <w:spacing w:after="0" w:line="240" w:lineRule="auto"/>
        <w:jc w:val="both"/>
        <w:rPr>
          <w:rFonts w:ascii="Times New Roman" w:hAnsi="Times New Roman" w:cs="Tahoma"/>
          <w:color w:val="FF0000"/>
          <w:sz w:val="24"/>
          <w:szCs w:val="24"/>
        </w:rPr>
      </w:pPr>
      <w:r w:rsidRPr="002B208E">
        <w:rPr>
          <w:noProof/>
        </w:rPr>
        <w:drawing>
          <wp:inline distT="0" distB="0" distL="0" distR="0">
            <wp:extent cx="6120130" cy="1862096"/>
            <wp:effectExtent l="0" t="0" r="0" b="508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6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E4" w:rsidRDefault="004E31E4" w:rsidP="004E31E4">
      <w:pPr>
        <w:spacing w:after="0" w:line="240" w:lineRule="auto"/>
        <w:jc w:val="center"/>
        <w:rPr>
          <w:rFonts w:ascii="Times New Roman" w:hAnsi="Times New Roman" w:cs="Tahoma"/>
          <w:i/>
          <w:iCs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Fonte: </w:t>
      </w:r>
      <w:r>
        <w:rPr>
          <w:rFonts w:ascii="Times New Roman" w:hAnsi="Times New Roman" w:cs="Tahoma"/>
          <w:i/>
          <w:iCs/>
          <w:sz w:val="24"/>
          <w:szCs w:val="24"/>
        </w:rPr>
        <w:t>Elaborazioni Fondazione Leone Moressa su dati della Banca d’Italia</w:t>
      </w:r>
    </w:p>
    <w:p w:rsidR="002B208E" w:rsidRDefault="002B208E">
      <w:pPr>
        <w:spacing w:after="0" w:line="240" w:lineRule="auto"/>
        <w:jc w:val="both"/>
        <w:rPr>
          <w:rFonts w:ascii="Times New Roman" w:hAnsi="Times New Roman" w:cs="Tahoma"/>
          <w:color w:val="FF0000"/>
          <w:sz w:val="24"/>
          <w:szCs w:val="24"/>
        </w:rPr>
      </w:pPr>
    </w:p>
    <w:p w:rsidR="004E31E4" w:rsidRDefault="004E31E4">
      <w:pPr>
        <w:spacing w:after="0" w:line="240" w:lineRule="auto"/>
        <w:jc w:val="both"/>
        <w:rPr>
          <w:rFonts w:ascii="Times New Roman" w:hAnsi="Times New Roman" w:cs="Tahoma"/>
          <w:color w:val="FF0000"/>
          <w:sz w:val="24"/>
          <w:szCs w:val="24"/>
        </w:rPr>
      </w:pPr>
    </w:p>
    <w:p w:rsidR="004E31E4" w:rsidRDefault="004E31E4">
      <w:pPr>
        <w:spacing w:after="0" w:line="240" w:lineRule="auto"/>
        <w:jc w:val="both"/>
        <w:rPr>
          <w:rFonts w:ascii="Times New Roman" w:hAnsi="Times New Roman" w:cs="Tahoma"/>
          <w:color w:val="FF0000"/>
          <w:sz w:val="24"/>
          <w:szCs w:val="24"/>
        </w:rPr>
      </w:pPr>
    </w:p>
    <w:p w:rsidR="00851BE0" w:rsidRDefault="00851BE0">
      <w:pPr>
        <w:spacing w:after="0" w:line="240" w:lineRule="auto"/>
        <w:rPr>
          <w:rFonts w:ascii="Times New Roman" w:hAnsi="Times New Roman" w:cs="Tahoma"/>
          <w:color w:val="FF0000"/>
          <w:sz w:val="24"/>
          <w:szCs w:val="24"/>
        </w:rPr>
      </w:pPr>
      <w:r>
        <w:rPr>
          <w:rFonts w:ascii="Times New Roman" w:hAnsi="Times New Roman" w:cs="Tahoma"/>
          <w:color w:val="FF0000"/>
          <w:sz w:val="24"/>
          <w:szCs w:val="24"/>
        </w:rPr>
        <w:br w:type="page"/>
      </w:r>
    </w:p>
    <w:p w:rsidR="00981EE3" w:rsidRPr="00975CCC" w:rsidRDefault="00981EE3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975CCC" w:rsidRPr="0062554E" w:rsidRDefault="00975CCC" w:rsidP="008D6747">
      <w:pPr>
        <w:spacing w:after="0" w:line="240" w:lineRule="auto"/>
        <w:jc w:val="center"/>
      </w:pPr>
    </w:p>
    <w:p w:rsidR="00981EE3" w:rsidRDefault="00996C2C" w:rsidP="008D6747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62554E">
        <w:rPr>
          <w:rFonts w:ascii="Times New Roman" w:hAnsi="Times New Roman" w:cs="Tahoma"/>
          <w:b/>
          <w:sz w:val="24"/>
          <w:szCs w:val="24"/>
        </w:rPr>
        <w:t>Rimesse inviate dall’Italia per Regione di invio, 202</w:t>
      </w:r>
      <w:r w:rsidR="007B34D8">
        <w:rPr>
          <w:rFonts w:ascii="Times New Roman" w:hAnsi="Times New Roman" w:cs="Tahoma"/>
          <w:b/>
          <w:sz w:val="24"/>
          <w:szCs w:val="24"/>
        </w:rPr>
        <w:t>4</w:t>
      </w:r>
    </w:p>
    <w:tbl>
      <w:tblPr>
        <w:tblW w:w="8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276"/>
        <w:gridCol w:w="1417"/>
        <w:gridCol w:w="1430"/>
      </w:tblGrid>
      <w:tr w:rsidR="007B34D8" w:rsidRPr="007B34D8" w:rsidTr="007B34D8">
        <w:trPr>
          <w:trHeight w:val="785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Hlk19552778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Regioni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BC218C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Rimesse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  <w:p w:rsidR="007B34D8" w:rsidRPr="00BC218C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(Milioni euro)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Distrib</w:t>
            </w:r>
            <w:proofErr w:type="spellEnd"/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</w:p>
          <w:p w:rsidR="007B34D8" w:rsidRPr="00BC218C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BC218C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Variazione</w:t>
            </w:r>
          </w:p>
          <w:p w:rsidR="007B34D8" w:rsidRPr="00BC218C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%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BC218C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Variazione</w:t>
            </w:r>
          </w:p>
          <w:p w:rsidR="007B34D8" w:rsidRPr="00BC218C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%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bookmarkEnd w:id="0"/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Lombardia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35,7%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-2,6%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Lazio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7,9%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4,4%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Emilia Romagna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50,2%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-3,6%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Veneto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36,2%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-1,1%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Toscana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-5,4%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-2,1%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Campania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69,4%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12,4%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Piemonte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34,1%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-1,7%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Liguria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43,6%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1,4%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Puglia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60,7%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4,9%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Sicilia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11,5%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0,8%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41,1%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-1,4%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Friuli Venezia Giulia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83,5%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3,1%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Trentino Alto Adige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107,8%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-1,7%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Calabria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19,2%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1,1%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Abruzzo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23,3%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3,0%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Sardegna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24,1%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Umbria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12,3%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0,6%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Basilicata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67,7%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1,2%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Molise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12,8%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2,6%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Valle d’Aosta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16,9%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6,6%</w:t>
            </w:r>
          </w:p>
        </w:tc>
      </w:tr>
      <w:tr w:rsidR="007B34D8" w:rsidRPr="007B34D8" w:rsidTr="007B34D8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29,9%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4D8" w:rsidRPr="007B34D8" w:rsidRDefault="007B34D8" w:rsidP="007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7B3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0,5%</w:t>
            </w:r>
          </w:p>
        </w:tc>
      </w:tr>
    </w:tbl>
    <w:p w:rsidR="00981EE3" w:rsidRDefault="00996C2C">
      <w:pPr>
        <w:spacing w:after="0" w:line="240" w:lineRule="auto"/>
        <w:jc w:val="center"/>
      </w:pPr>
      <w:r>
        <w:rPr>
          <w:rFonts w:ascii="Times New Roman" w:hAnsi="Times New Roman" w:cs="Tahoma"/>
          <w:sz w:val="24"/>
          <w:szCs w:val="24"/>
        </w:rPr>
        <w:t xml:space="preserve">Fonte: </w:t>
      </w:r>
      <w:r>
        <w:rPr>
          <w:rFonts w:ascii="Times New Roman" w:hAnsi="Times New Roman" w:cs="Tahoma"/>
          <w:i/>
          <w:iCs/>
          <w:sz w:val="24"/>
          <w:szCs w:val="24"/>
        </w:rPr>
        <w:t>Elaborazioni Fondazione Leone Moressa su dati della Banca d’Italia</w:t>
      </w:r>
    </w:p>
    <w:p w:rsidR="00981EE3" w:rsidRDefault="00981EE3">
      <w:pPr>
        <w:spacing w:after="0" w:line="240" w:lineRule="auto"/>
        <w:rPr>
          <w:rFonts w:ascii="Times New Roman" w:hAnsi="Times New Roman" w:cs="Tahoma"/>
          <w:b/>
          <w:color w:val="FF0000"/>
          <w:sz w:val="24"/>
          <w:szCs w:val="24"/>
          <w:lang w:eastAsia="it-IT"/>
        </w:rPr>
      </w:pPr>
    </w:p>
    <w:p w:rsidR="00BC218C" w:rsidRDefault="00BC218C">
      <w:pPr>
        <w:spacing w:after="0" w:line="240" w:lineRule="auto"/>
        <w:rPr>
          <w:rFonts w:ascii="Times New Roman" w:hAnsi="Times New Roman" w:cs="Tahoma"/>
          <w:b/>
          <w:color w:val="FF0000"/>
          <w:sz w:val="24"/>
          <w:szCs w:val="24"/>
          <w:lang w:eastAsia="it-IT"/>
        </w:rPr>
      </w:pPr>
    </w:p>
    <w:p w:rsidR="00981EE3" w:rsidRDefault="00996C2C" w:rsidP="00114283">
      <w:pPr>
        <w:spacing w:after="0" w:line="36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62554E">
        <w:rPr>
          <w:rFonts w:ascii="Times New Roman" w:hAnsi="Times New Roman" w:cs="Tahoma"/>
          <w:b/>
          <w:sz w:val="24"/>
          <w:szCs w:val="24"/>
        </w:rPr>
        <w:t>Rimesse inviate dall’Italia per Provincia di invio, 202</w:t>
      </w:r>
      <w:r w:rsidR="00114283">
        <w:rPr>
          <w:rFonts w:ascii="Times New Roman" w:hAnsi="Times New Roman" w:cs="Tahoma"/>
          <w:b/>
          <w:sz w:val="24"/>
          <w:szCs w:val="24"/>
        </w:rPr>
        <w:t>4</w:t>
      </w: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694"/>
        <w:gridCol w:w="1810"/>
        <w:gridCol w:w="1701"/>
        <w:gridCol w:w="1701"/>
      </w:tblGrid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Prime </w:t>
            </w:r>
            <w:r w:rsidR="0099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  <w:p w:rsidR="00114283" w:rsidRPr="007B34D8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Province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Rimesse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  <w:p w:rsidR="00114283" w:rsidRPr="00BC218C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(Milioni euro)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Distrib</w:t>
            </w:r>
            <w:proofErr w:type="spellEnd"/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.</w:t>
            </w:r>
          </w:p>
          <w:p w:rsidR="00114283" w:rsidRPr="00BC218C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BC218C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Variazione</w:t>
            </w:r>
          </w:p>
          <w:p w:rsidR="00114283" w:rsidRPr="00BC218C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%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BC218C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Variazione</w:t>
            </w:r>
          </w:p>
          <w:p w:rsidR="00114283" w:rsidRPr="00BC218C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%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  <w:r w:rsidRPr="00BC2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1.097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13,2%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4,5%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Milano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-2,7%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Napoli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15,1%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Torino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3,2%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-3,1%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Firenze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-1,2%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Brescia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32,9%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-6,7%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Bologna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-7,1%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Genova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2,1%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-0,8%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Venezia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4,8%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Verona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2,0%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56,7%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-2,0%</w:t>
            </w:r>
          </w:p>
        </w:tc>
      </w:tr>
      <w:tr w:rsidR="00114283" w:rsidRPr="00114283" w:rsidTr="00114283">
        <w:trPr>
          <w:trHeight w:val="300"/>
          <w:jc w:val="center"/>
        </w:trPr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Totale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8.285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29,9%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283" w:rsidRPr="00114283" w:rsidRDefault="00114283" w:rsidP="0011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</w:t>
            </w:r>
            <w:r w:rsidRPr="00114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0,5%</w:t>
            </w:r>
          </w:p>
        </w:tc>
      </w:tr>
    </w:tbl>
    <w:p w:rsidR="00981EE3" w:rsidRDefault="00996C2C">
      <w:pPr>
        <w:spacing w:after="0" w:line="240" w:lineRule="auto"/>
        <w:jc w:val="center"/>
      </w:pPr>
      <w:r>
        <w:rPr>
          <w:rFonts w:ascii="Times New Roman" w:hAnsi="Times New Roman" w:cs="Tahoma"/>
          <w:sz w:val="24"/>
          <w:szCs w:val="24"/>
        </w:rPr>
        <w:t xml:space="preserve">Fonte: </w:t>
      </w:r>
      <w:r>
        <w:rPr>
          <w:rFonts w:ascii="Times New Roman" w:hAnsi="Times New Roman" w:cs="Tahoma"/>
          <w:i/>
          <w:iCs/>
          <w:sz w:val="24"/>
          <w:szCs w:val="24"/>
        </w:rPr>
        <w:t>Elaborazioni Fondazione Leone Moressa su dati della Banca d’Italia</w:t>
      </w:r>
    </w:p>
    <w:p w:rsidR="00981EE3" w:rsidRDefault="00981EE3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</w:p>
    <w:p w:rsidR="00981EE3" w:rsidRDefault="00981EE3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</w:rPr>
      </w:pPr>
    </w:p>
    <w:p w:rsidR="00C64657" w:rsidRDefault="00C64657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br w:type="page"/>
      </w:r>
    </w:p>
    <w:p w:rsidR="008F0699" w:rsidRPr="002D1509" w:rsidRDefault="008F0699" w:rsidP="008F06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1509">
        <w:rPr>
          <w:rFonts w:ascii="Times New Roman" w:hAnsi="Times New Roman" w:cs="Times New Roman"/>
          <w:b/>
        </w:rPr>
        <w:lastRenderedPageBreak/>
        <w:t>APPENDICE – DATI PROVINCIALI</w:t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  <w:t>NORD-</w:t>
      </w:r>
      <w:r>
        <w:rPr>
          <w:rFonts w:ascii="Times New Roman" w:hAnsi="Times New Roman" w:cs="Times New Roman"/>
          <w:b/>
        </w:rPr>
        <w:t>OVEST</w:t>
      </w:r>
    </w:p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1889"/>
        <w:gridCol w:w="1701"/>
        <w:gridCol w:w="1417"/>
        <w:gridCol w:w="1418"/>
      </w:tblGrid>
      <w:tr w:rsidR="008F0699" w:rsidRPr="00BF5EB2" w:rsidTr="009972AA">
        <w:trPr>
          <w:trHeight w:val="702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Rimesse 2024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(Milioni euro)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Distribuzione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2014-24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2023-24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TORINO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55,1%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29,0%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-3,1%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CUNEO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63,2%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-0,9%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NOVARA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39,0%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-1,5%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ALESSANDRIA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ASTI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34,2%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VERCELLI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BIELLA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64,9%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VERBANO CUSIO OSSOLA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2,0%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55,4%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2,8%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PIEMONTE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34,1%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-1,7%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AOSTA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16,9%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6,6%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VALLE D'AOSTA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16,9%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6,6%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GENOVA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53,8%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32,4%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-0,8%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 SPEZIA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107,7%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6,4%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IMPERIA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56,4%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4,4%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SAVONA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0,3%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LIGURIA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43,6%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1,4%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MILANO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50,1%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25,5%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BRESCIA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-6,7%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BERGAMO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-5,6%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MONZA-BRIANZA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104,3%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VARESE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63,2%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1,5%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MANTOVA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53,2%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-2,4%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41,1%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-1,2%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PAVIA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46,6%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2,9%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CREMONA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39,1%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LECCO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46,9%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-1,0%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LODI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79,8%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-1,4%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SONDRIO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0,7%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39,6%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-0,6%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LOMBARDIA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1.816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35,7%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-2,6%</w:t>
            </w:r>
          </w:p>
        </w:tc>
      </w:tr>
    </w:tbl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br w:type="page"/>
      </w:r>
    </w:p>
    <w:p w:rsidR="008F0699" w:rsidRPr="002D1509" w:rsidRDefault="008F0699" w:rsidP="008F06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1509">
        <w:rPr>
          <w:rFonts w:ascii="Times New Roman" w:hAnsi="Times New Roman" w:cs="Times New Roman"/>
          <w:b/>
        </w:rPr>
        <w:lastRenderedPageBreak/>
        <w:t>APPENDICE – DATI PROVINCIALI</w:t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  <w:t>NORD-</w:t>
      </w:r>
      <w:r>
        <w:rPr>
          <w:rFonts w:ascii="Times New Roman" w:hAnsi="Times New Roman" w:cs="Times New Roman"/>
          <w:b/>
        </w:rPr>
        <w:t>EST</w:t>
      </w:r>
    </w:p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1889"/>
        <w:gridCol w:w="1701"/>
        <w:gridCol w:w="1417"/>
        <w:gridCol w:w="1418"/>
      </w:tblGrid>
      <w:tr w:rsidR="008F0699" w:rsidRPr="00BF5EB2" w:rsidTr="009972AA">
        <w:trPr>
          <w:trHeight w:val="702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Rimesse 2024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(Milioni euro)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Distribuzione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2014-24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2023-24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VENEZIA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44,5%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4,8%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VERONA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56,7%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-2,0%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PADOVA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17,5%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0,0%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VICENZA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-7,2%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TREVISO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31,2%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ROVIGO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-4,9%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-5,3%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BELLUNO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1,7%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VENETO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36,2%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-1,1%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BOLZANO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61,4%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141,2%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TRENTO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38,6%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70,3%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-5,3%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TRENTINO ALTO ADIGE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107,8%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-1,7%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UDINE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37,7%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88,4%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3,5%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GORIZIA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168,2%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PORDENONE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37,8%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TRIESTE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69,5%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-5,1%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FRIULI VENEZIA GIULIA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83,5%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BOLOGNA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24,2%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42,4%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-7,1%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MODENA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77,5%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-2,4%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REGGIO EMILIA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-8,4%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PARMA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56,8%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-0,8%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PIACENZA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77,6%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-2,0%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FORLI'-CESENA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43,2%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-0,8%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RIMINI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44,1%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3,3%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RAVENNA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FERRARA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5,8%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59,5%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-6,7%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EMILIA ROMAGNA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50,2%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-3,6%</w:t>
            </w:r>
          </w:p>
        </w:tc>
      </w:tr>
    </w:tbl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br w:type="page"/>
      </w:r>
    </w:p>
    <w:p w:rsidR="008F0699" w:rsidRPr="002D1509" w:rsidRDefault="008F0699" w:rsidP="008F06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1509">
        <w:rPr>
          <w:rFonts w:ascii="Times New Roman" w:hAnsi="Times New Roman" w:cs="Times New Roman"/>
          <w:b/>
        </w:rPr>
        <w:lastRenderedPageBreak/>
        <w:t>APPENDICE – DATI PROVINCIALI</w:t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CENTRO</w:t>
      </w:r>
    </w:p>
    <w:p w:rsidR="008F0699" w:rsidRDefault="008F0699" w:rsidP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1889"/>
        <w:gridCol w:w="1701"/>
        <w:gridCol w:w="1417"/>
        <w:gridCol w:w="1418"/>
      </w:tblGrid>
      <w:tr w:rsidR="008F0699" w:rsidRPr="008F0699" w:rsidTr="009972AA">
        <w:trPr>
          <w:trHeight w:val="624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Rimesse 2024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(Milioni euro)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Distribuzione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2014-24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2023-24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FIRENZE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36,4%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-1,2%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PISA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46,8%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-0,7%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PRATO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-65,9%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-12,5%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AREZZO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-3,2%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LUCCA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-1,9%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LIVORNO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PISTOIA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41,6%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6,9%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SIENA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-1,5%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GROSSETO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49,0%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-0,3%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MASSA CARRARA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89,3%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1,8%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TOSCANA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-5,4%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-2,1%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PERUGIA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74,1%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11,9%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TERNI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0,4%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UMBRIA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0,6%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ROMA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1.097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86,3%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4,5%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LATINA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82,3%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4,0%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VITERBO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1,8%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FROSINONE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39,1%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8,9%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RIETI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-20,9%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4,3%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LAZIO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1.271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7,9%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4,4%</w:t>
            </w:r>
          </w:p>
        </w:tc>
      </w:tr>
      <w:tr w:rsidR="00BD6B9F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ANCONA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46,5%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59,6%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1,9%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MACERATA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-4,7%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PESARO E URBINO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17,7%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101,5%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-4,6%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ASCOLI PICENO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-12,3%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-0,6%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FERMO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7,1%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24,1%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-4,8%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MARCHE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9972AA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-1,4%</w:t>
            </w:r>
          </w:p>
        </w:tc>
      </w:tr>
    </w:tbl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p w:rsidR="008F0699" w:rsidRDefault="008F06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F0699" w:rsidRPr="002D1509" w:rsidRDefault="008F0699" w:rsidP="008F06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1509">
        <w:rPr>
          <w:rFonts w:ascii="Times New Roman" w:hAnsi="Times New Roman" w:cs="Times New Roman"/>
          <w:b/>
        </w:rPr>
        <w:lastRenderedPageBreak/>
        <w:t>APPENDICE – DATI PROVINCIALI</w:t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SUD</w:t>
      </w:r>
    </w:p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1889"/>
        <w:gridCol w:w="1701"/>
        <w:gridCol w:w="1417"/>
        <w:gridCol w:w="1418"/>
      </w:tblGrid>
      <w:tr w:rsidR="008F0699" w:rsidRPr="008F0699" w:rsidTr="009972AA">
        <w:trPr>
          <w:trHeight w:val="657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Rimesse 2024</w:t>
            </w:r>
          </w:p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(Milioni euro)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Distribuzione</w:t>
            </w:r>
          </w:p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2014-24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2023-24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33,0%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43,7%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3,7%</w:t>
            </w:r>
          </w:p>
        </w:tc>
      </w:tr>
      <w:tr w:rsidR="008F0699" w:rsidRPr="008F0699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L'AQUILA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34,9%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2,6%</w:t>
            </w:r>
          </w:p>
        </w:tc>
      </w:tr>
      <w:tr w:rsidR="008F0699" w:rsidRPr="008F0699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TERAMO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1,9%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CHIETI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14,0%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-8,5%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4,4%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ABRUZZO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23,3%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3,0%</w:t>
            </w:r>
          </w:p>
        </w:tc>
      </w:tr>
      <w:tr w:rsidR="00BD6B9F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CAMPOBASSO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69,8%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13,5%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ISERNIA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30,2%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11,2%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7,6%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MOLISE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2,6%</w:t>
            </w:r>
          </w:p>
        </w:tc>
      </w:tr>
      <w:tr w:rsidR="00BD6B9F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MATERA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51,7%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115,9%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POTENZA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48,3%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35,4%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3,9%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BASILICATA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67,7%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1,2%</w:t>
            </w:r>
          </w:p>
        </w:tc>
      </w:tr>
      <w:tr w:rsidR="00BD6B9F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REGGIO CALABRIA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40,5%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14,5%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-3,7%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COSENZA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30,7%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CATANZARO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CROTONE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17,1%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VIBO VALENTIA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5,7%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50,7%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9,0%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CALABRIA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19,2%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1,1%</w:t>
            </w:r>
          </w:p>
        </w:tc>
      </w:tr>
      <w:tr w:rsidR="00BD6B9F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NAPOLI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68,3%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81,5%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SALERNO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55,3%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8,3%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CASERTA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49,3%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5,5%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AVELLINO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46,1%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6,7%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BENEVENTO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1,3%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-5,8%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8,3%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CAMPANIA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69,4%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12,4%</w:t>
            </w:r>
          </w:p>
        </w:tc>
      </w:tr>
      <w:tr w:rsidR="00BD6B9F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BARI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36,1%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47,2%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9,0%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FOGGIA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51,2%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0,1%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LECCE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55,3%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1,0%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TARANTO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86,2%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2,3%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BRINDISI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105,6%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7,5%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BARLETTA-ANDRIA-TRANI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4,7%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136,4%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13,7%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PUGLIA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60,7%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997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4,9%</w:t>
            </w:r>
          </w:p>
        </w:tc>
      </w:tr>
    </w:tbl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p w:rsidR="008F0699" w:rsidRDefault="008F069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F0699" w:rsidRPr="002D1509" w:rsidRDefault="008F0699" w:rsidP="008F06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1509">
        <w:rPr>
          <w:rFonts w:ascii="Times New Roman" w:hAnsi="Times New Roman" w:cs="Times New Roman"/>
          <w:b/>
        </w:rPr>
        <w:lastRenderedPageBreak/>
        <w:t>APPENDICE – DATI PROVINCIALI</w:t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 w:rsidRPr="002D150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ISOLE</w:t>
      </w:r>
    </w:p>
    <w:p w:rsidR="008F0699" w:rsidRDefault="008F0699">
      <w:pPr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3"/>
        <w:gridCol w:w="1889"/>
        <w:gridCol w:w="1701"/>
        <w:gridCol w:w="1417"/>
        <w:gridCol w:w="1418"/>
      </w:tblGrid>
      <w:tr w:rsidR="008F0699" w:rsidRPr="008F0699" w:rsidTr="009972AA">
        <w:trPr>
          <w:trHeight w:val="66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Province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Rimesse 2024</w:t>
            </w:r>
          </w:p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(Milioni euro)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Distribuzione</w:t>
            </w:r>
          </w:p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regionale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2014-24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Variazione</w:t>
            </w:r>
          </w:p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% 2023-24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CAGLIARI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47,1%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64,0%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1,9%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SASSARI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37,8%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1,3%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SUD SARDEGNA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-28,0%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-10,0%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ORISTANO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24,3%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0,6%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NUORO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4,4%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-49,6%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-2,0%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SARDEGNA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24,1%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0,6%</w:t>
            </w:r>
          </w:p>
        </w:tc>
      </w:tr>
      <w:tr w:rsidR="00BD6B9F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B9F" w:rsidRPr="008F0699" w:rsidRDefault="00BD6B9F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PALERMO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26,8%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28,3%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0,0%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CATANIA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21,9%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-21,5%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7,3%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MESSINA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14,1%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-0,5%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RAGUSA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12,3%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63,9%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5,0%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TRAPANI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47,0%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-3,9%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AGRIGENTO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7,2%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35,3%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2,4%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SIRACUSA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6,7%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15,8%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-8,4%</w:t>
            </w:r>
          </w:p>
        </w:tc>
      </w:tr>
      <w:tr w:rsidR="008F0699" w:rsidRPr="00BF5EB2" w:rsidTr="008F0699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CALTANISSETTA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-20,6%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-12,4%</w:t>
            </w:r>
          </w:p>
        </w:tc>
      </w:tr>
      <w:tr w:rsidR="008F0699" w:rsidRPr="00BF5EB2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ENNA</w:t>
            </w:r>
          </w:p>
        </w:tc>
        <w:tc>
          <w:tcPr>
            <w:tcW w:w="1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1,0%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-34,0%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-13,9%</w:t>
            </w:r>
          </w:p>
        </w:tc>
      </w:tr>
      <w:tr w:rsidR="008F0699" w:rsidRPr="008F0699" w:rsidTr="009972AA">
        <w:trPr>
          <w:trHeight w:val="300"/>
        </w:trPr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SICILIA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F0699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800C7D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bookmarkStart w:id="1" w:name="_GoBack"/>
            <w:bookmarkEnd w:id="1"/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11,5%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99" w:rsidRPr="008F0699" w:rsidRDefault="001C1694" w:rsidP="008F0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+</w:t>
            </w:r>
            <w:r w:rsidR="008F0699" w:rsidRPr="008F0699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0,8%</w:t>
            </w:r>
          </w:p>
        </w:tc>
      </w:tr>
    </w:tbl>
    <w:p w:rsidR="00141EA6" w:rsidRDefault="00141EA6" w:rsidP="00141EA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141EA6" w:rsidRDefault="00141EA6" w:rsidP="00141EA6">
      <w:pPr>
        <w:spacing w:after="0" w:line="240" w:lineRule="auto"/>
        <w:jc w:val="both"/>
        <w:rPr>
          <w:rFonts w:ascii="Times New Roman" w:hAnsi="Times New Roman" w:cs="Tahoma"/>
          <w:sz w:val="24"/>
          <w:szCs w:val="24"/>
        </w:rPr>
      </w:pPr>
    </w:p>
    <w:p w:rsidR="00141EA6" w:rsidRPr="009972AA" w:rsidRDefault="00141EA6" w:rsidP="00141EA6">
      <w:pPr>
        <w:spacing w:after="0" w:line="240" w:lineRule="auto"/>
        <w:jc w:val="both"/>
        <w:rPr>
          <w:rFonts w:ascii="Times New Roman" w:hAnsi="Times New Roman" w:cs="Tahoma"/>
          <w:b/>
        </w:rPr>
      </w:pPr>
      <w:r w:rsidRPr="009972AA">
        <w:rPr>
          <w:rFonts w:ascii="Times New Roman" w:hAnsi="Times New Roman" w:cs="Tahoma"/>
          <w:b/>
        </w:rPr>
        <w:t>Nota metodologica</w:t>
      </w:r>
    </w:p>
    <w:p w:rsidR="00141EA6" w:rsidRPr="009972AA" w:rsidRDefault="00141EA6" w:rsidP="00141EA6">
      <w:pPr>
        <w:spacing w:after="0" w:line="240" w:lineRule="auto"/>
        <w:jc w:val="both"/>
        <w:rPr>
          <w:rFonts w:ascii="Times New Roman" w:hAnsi="Times New Roman" w:cs="Tahoma"/>
        </w:rPr>
      </w:pPr>
    </w:p>
    <w:p w:rsidR="00141EA6" w:rsidRPr="009972AA" w:rsidRDefault="009972AA" w:rsidP="00141EA6">
      <w:pPr>
        <w:spacing w:after="0" w:line="240" w:lineRule="auto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Sono considerati</w:t>
      </w:r>
      <w:r w:rsidR="00141EA6" w:rsidRPr="009972AA">
        <w:rPr>
          <w:rFonts w:ascii="Times New Roman" w:hAnsi="Times New Roman" w:cs="Tahoma"/>
        </w:rPr>
        <w:t xml:space="preserve"> i trasferimenti di denaro all’estero regolati tramite istituti di pagamento o altri intermediari autorizzati, senza transitare su conti di pagamento intestati all’ordinante o al beneficiario (regolamento in denaro contante). </w:t>
      </w:r>
    </w:p>
    <w:p w:rsidR="00141EA6" w:rsidRPr="009972AA" w:rsidRDefault="00141EA6" w:rsidP="00141EA6">
      <w:pPr>
        <w:spacing w:after="0" w:line="240" w:lineRule="auto"/>
        <w:jc w:val="both"/>
        <w:rPr>
          <w:rFonts w:ascii="Times New Roman" w:hAnsi="Times New Roman" w:cs="Tahoma"/>
        </w:rPr>
      </w:pPr>
    </w:p>
    <w:p w:rsidR="00141EA6" w:rsidRPr="009972AA" w:rsidRDefault="009972AA" w:rsidP="00141EA6">
      <w:pPr>
        <w:spacing w:after="0" w:line="240" w:lineRule="auto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I</w:t>
      </w:r>
      <w:r w:rsidR="00141EA6" w:rsidRPr="009972AA">
        <w:rPr>
          <w:rFonts w:ascii="Times New Roman" w:hAnsi="Times New Roman" w:cs="Tahoma"/>
        </w:rPr>
        <w:t xml:space="preserve"> movimenti “invisibili” </w:t>
      </w:r>
      <w:r>
        <w:rPr>
          <w:rFonts w:ascii="Times New Roman" w:hAnsi="Times New Roman" w:cs="Tahoma"/>
        </w:rPr>
        <w:t xml:space="preserve">includono </w:t>
      </w:r>
      <w:r w:rsidR="00141EA6" w:rsidRPr="009972AA">
        <w:rPr>
          <w:rFonts w:ascii="Times New Roman" w:hAnsi="Times New Roman" w:cs="Tahoma"/>
        </w:rPr>
        <w:t xml:space="preserve">trasferimenti in forma di denaro contante a seguito del viaggiatore o di altra persona fidata o altre modalità “artigianali” non registrabili dalle rilevazioni ufficiali. </w:t>
      </w:r>
    </w:p>
    <w:p w:rsidR="00141EA6" w:rsidRDefault="00141EA6" w:rsidP="00141EA6">
      <w:pPr>
        <w:spacing w:after="0" w:line="240" w:lineRule="auto"/>
        <w:jc w:val="both"/>
        <w:rPr>
          <w:rFonts w:ascii="Times New Roman" w:hAnsi="Times New Roman" w:cs="Tahoma"/>
        </w:rPr>
      </w:pPr>
      <w:r w:rsidRPr="009972AA">
        <w:rPr>
          <w:rFonts w:ascii="Times New Roman" w:hAnsi="Times New Roman" w:cs="Tahoma"/>
        </w:rPr>
        <w:t xml:space="preserve">Il modello di stima </w:t>
      </w:r>
      <w:r w:rsidR="009972AA">
        <w:rPr>
          <w:rFonts w:ascii="Times New Roman" w:hAnsi="Times New Roman" w:cs="Tahoma"/>
        </w:rPr>
        <w:t xml:space="preserve">della Banca d’Italia </w:t>
      </w:r>
      <w:r w:rsidRPr="009972AA">
        <w:rPr>
          <w:rFonts w:ascii="Times New Roman" w:hAnsi="Times New Roman" w:cs="Tahoma"/>
        </w:rPr>
        <w:t xml:space="preserve">si basa sull’evidenza che le rimesse verso i Paesi più vicini sono mediamente inferiori rispetto a quelle verso i Paesi lontani, proprio </w:t>
      </w:r>
      <w:r w:rsidR="009972AA">
        <w:rPr>
          <w:rFonts w:ascii="Times New Roman" w:hAnsi="Times New Roman" w:cs="Tahoma"/>
        </w:rPr>
        <w:t>per</w:t>
      </w:r>
      <w:r w:rsidRPr="009972AA">
        <w:rPr>
          <w:rFonts w:ascii="Times New Roman" w:hAnsi="Times New Roman" w:cs="Tahoma"/>
        </w:rPr>
        <w:t xml:space="preserve"> la presenza di “flussi invisibili”, naturalmente più facili verso i Paesi raggiungibili via terra come Est Europa e Balcani. </w:t>
      </w:r>
    </w:p>
    <w:p w:rsidR="009972AA" w:rsidRPr="009972AA" w:rsidRDefault="009972AA" w:rsidP="00141EA6">
      <w:pPr>
        <w:spacing w:after="0" w:line="240" w:lineRule="auto"/>
        <w:jc w:val="both"/>
        <w:rPr>
          <w:rFonts w:ascii="Times New Roman" w:hAnsi="Times New Roman" w:cs="Tahoma"/>
        </w:rPr>
      </w:pPr>
    </w:p>
    <w:p w:rsidR="00141EA6" w:rsidRPr="009972AA" w:rsidRDefault="00141EA6" w:rsidP="00141EA6">
      <w:pPr>
        <w:spacing w:after="0" w:line="240" w:lineRule="auto"/>
        <w:jc w:val="both"/>
        <w:rPr>
          <w:rFonts w:ascii="Times New Roman" w:hAnsi="Times New Roman" w:cs="Tahoma"/>
        </w:rPr>
      </w:pPr>
      <w:r w:rsidRPr="009972AA">
        <w:rPr>
          <w:rFonts w:ascii="Times New Roman" w:hAnsi="Times New Roman" w:cs="Tahoma"/>
        </w:rPr>
        <w:t>Per il confronto della serie storica, i valori degli anni precedenti al 2024 sono rivalutarli utilizzando l'indice dei prezzi al consumo per le famiglie di operai e impiegati al netto dei tabacchi (FOI). Inoltre, i dati riportati nelle serie storiche possono non coincidere con quelli riportati in pubblicazioni precedenti, in quanto la Banca d’Italia effettua aggiustamenti periodici a seguito di verifiche svolte presso alcuni segnalanti.</w:t>
      </w:r>
    </w:p>
    <w:p w:rsidR="00141EA6" w:rsidRPr="009972AA" w:rsidRDefault="00141EA6" w:rsidP="00141EA6">
      <w:pPr>
        <w:spacing w:after="0" w:line="240" w:lineRule="auto"/>
        <w:jc w:val="both"/>
        <w:rPr>
          <w:rFonts w:ascii="Times New Roman" w:hAnsi="Times New Roman" w:cs="Tahoma"/>
        </w:rPr>
      </w:pPr>
    </w:p>
    <w:p w:rsidR="00141EA6" w:rsidRPr="009972AA" w:rsidRDefault="00141EA6" w:rsidP="00141E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72AA">
        <w:rPr>
          <w:rFonts w:ascii="Times New Roman" w:hAnsi="Times New Roman" w:cs="Times New Roman"/>
        </w:rPr>
        <w:t xml:space="preserve">Per il calcolo dei </w:t>
      </w:r>
      <w:r w:rsidRPr="009972AA">
        <w:rPr>
          <w:rFonts w:ascii="Times New Roman" w:hAnsi="Times New Roman" w:cs="Times New Roman"/>
          <w:lang w:eastAsia="it-IT"/>
        </w:rPr>
        <w:t xml:space="preserve">valori pro-capite, si parte dall’ipotesi che </w:t>
      </w:r>
      <w:r w:rsidRPr="009972AA">
        <w:rPr>
          <w:rFonts w:ascii="Times New Roman" w:hAnsi="Times New Roman" w:cs="Times New Roman"/>
        </w:rPr>
        <w:t xml:space="preserve">i flussi verso un determinato Paese siano riconducibili ai migranti provenienti da quel Paese, anche se i dati si limitano a certificare il Paese di destinazione e non la nazionalità del mittente. Il pro-capite è pertanto il </w:t>
      </w:r>
      <w:r w:rsidRPr="009972AA">
        <w:rPr>
          <w:rFonts w:ascii="Times New Roman" w:hAnsi="Times New Roman" w:cs="Times New Roman"/>
          <w:lang w:eastAsia="it-IT"/>
        </w:rPr>
        <w:t>rapporto tra i flussi verso un determinato Paese e la popolazione immigrata in Italia con cittadinanza di quello stesso Paese (vengono considerati tutti i residenti, indipendentemente da età, genere, situazione occupazionale).</w:t>
      </w:r>
    </w:p>
    <w:p w:rsidR="00141EA6" w:rsidRPr="009972AA" w:rsidRDefault="00141EA6" w:rsidP="00141EA6">
      <w:pPr>
        <w:spacing w:after="0" w:line="240" w:lineRule="auto"/>
        <w:jc w:val="both"/>
        <w:rPr>
          <w:rFonts w:ascii="Times New Roman" w:hAnsi="Times New Roman" w:cs="Tahoma"/>
        </w:rPr>
      </w:pPr>
    </w:p>
    <w:p w:rsidR="00141EA6" w:rsidRPr="009972AA" w:rsidRDefault="00141EA6" w:rsidP="00141EA6">
      <w:pPr>
        <w:spacing w:after="0" w:line="240" w:lineRule="auto"/>
        <w:jc w:val="both"/>
        <w:rPr>
          <w:rFonts w:ascii="Times New Roman" w:hAnsi="Times New Roman" w:cs="Tahoma"/>
        </w:rPr>
      </w:pPr>
      <w:r w:rsidRPr="009972AA">
        <w:rPr>
          <w:rFonts w:ascii="Times New Roman" w:hAnsi="Times New Roman" w:cs="Tahoma"/>
        </w:rPr>
        <w:t>Secondo la Banca d’Italia, l’aumento di alcuni Paesi negli ultimi dieci anni dipende in parte da una recente modifica regolamentare nel comparto degli istituti di pagamento che ha esteso, a partire dal 2018, l’obbligo di segnalazione a nuove categorie di operatori di money transfer che solo in parte aderivano alla segnalazione dei flussi su base volontaria. Poiché alcuni tra i maggiori intermediari di nuova inclusione sono specializzati nel trasferimento di denaro verso paesi specifici (in particolare Bangladesh, Filippine e Pakistan), il salto di serie è particolarmente marcato nei flussi bilaterali relativi a tali paesi.</w:t>
      </w:r>
    </w:p>
    <w:p w:rsidR="008F0699" w:rsidRPr="009972AA" w:rsidRDefault="008F0699" w:rsidP="00141EA6">
      <w:pPr>
        <w:spacing w:after="0" w:line="240" w:lineRule="auto"/>
        <w:jc w:val="both"/>
        <w:rPr>
          <w:rFonts w:ascii="Times New Roman" w:hAnsi="Times New Roman" w:cs="Tahoma"/>
        </w:rPr>
      </w:pPr>
    </w:p>
    <w:p w:rsidR="00141EA6" w:rsidRPr="009972AA" w:rsidRDefault="008F0699" w:rsidP="00141EA6">
      <w:pPr>
        <w:spacing w:after="0" w:line="240" w:lineRule="auto"/>
        <w:jc w:val="both"/>
        <w:rPr>
          <w:rFonts w:ascii="Times New Roman" w:hAnsi="Times New Roman" w:cs="Tahoma"/>
        </w:rPr>
      </w:pPr>
      <w:r w:rsidRPr="009972AA">
        <w:rPr>
          <w:rFonts w:ascii="Times New Roman" w:hAnsi="Times New Roman" w:cs="Tahoma"/>
        </w:rPr>
        <w:t>Il confronto 2014-2024 delle province della Sardegna è calcolato uniformando i valori 2014 alla ripartizione provinciale del 2024 (5 Province).</w:t>
      </w:r>
    </w:p>
    <w:sectPr w:rsidR="00141EA6" w:rsidRPr="009972AA" w:rsidSect="006D69A2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2AA" w:rsidRDefault="009972AA">
      <w:pPr>
        <w:spacing w:after="0" w:line="240" w:lineRule="auto"/>
      </w:pPr>
      <w:r>
        <w:separator/>
      </w:r>
    </w:p>
  </w:endnote>
  <w:endnote w:type="continuationSeparator" w:id="0">
    <w:p w:rsidR="009972AA" w:rsidRDefault="0099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2AA" w:rsidRDefault="009972AA">
      <w:r>
        <w:separator/>
      </w:r>
    </w:p>
  </w:footnote>
  <w:footnote w:type="continuationSeparator" w:id="0">
    <w:p w:rsidR="009972AA" w:rsidRDefault="0099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01131"/>
    <w:multiLevelType w:val="multilevel"/>
    <w:tmpl w:val="6B90F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FD0DAD"/>
    <w:multiLevelType w:val="multilevel"/>
    <w:tmpl w:val="C9E266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E3"/>
    <w:rsid w:val="000311F3"/>
    <w:rsid w:val="000947CB"/>
    <w:rsid w:val="00102C46"/>
    <w:rsid w:val="00114283"/>
    <w:rsid w:val="00132AAA"/>
    <w:rsid w:val="00141EA6"/>
    <w:rsid w:val="001C1694"/>
    <w:rsid w:val="001C624D"/>
    <w:rsid w:val="001F1C93"/>
    <w:rsid w:val="00212AED"/>
    <w:rsid w:val="00227C0F"/>
    <w:rsid w:val="002B208E"/>
    <w:rsid w:val="002D39D3"/>
    <w:rsid w:val="00324D18"/>
    <w:rsid w:val="00391DF9"/>
    <w:rsid w:val="003B5FB4"/>
    <w:rsid w:val="00443B9D"/>
    <w:rsid w:val="004A0B70"/>
    <w:rsid w:val="004A2D2A"/>
    <w:rsid w:val="004E31E4"/>
    <w:rsid w:val="004F79EB"/>
    <w:rsid w:val="005D6C11"/>
    <w:rsid w:val="005E5AC6"/>
    <w:rsid w:val="0062554E"/>
    <w:rsid w:val="006D69A2"/>
    <w:rsid w:val="006F1336"/>
    <w:rsid w:val="007128C1"/>
    <w:rsid w:val="007626E6"/>
    <w:rsid w:val="00796CE6"/>
    <w:rsid w:val="007B34D8"/>
    <w:rsid w:val="00800C7D"/>
    <w:rsid w:val="008230F6"/>
    <w:rsid w:val="00851BE0"/>
    <w:rsid w:val="008660E6"/>
    <w:rsid w:val="008A016C"/>
    <w:rsid w:val="008D6747"/>
    <w:rsid w:val="008F0699"/>
    <w:rsid w:val="009001D2"/>
    <w:rsid w:val="00940404"/>
    <w:rsid w:val="00946B0F"/>
    <w:rsid w:val="00975CCC"/>
    <w:rsid w:val="00981EE3"/>
    <w:rsid w:val="00996C2C"/>
    <w:rsid w:val="009972AA"/>
    <w:rsid w:val="009E67A0"/>
    <w:rsid w:val="00A41C56"/>
    <w:rsid w:val="00A817D4"/>
    <w:rsid w:val="00B45683"/>
    <w:rsid w:val="00B86924"/>
    <w:rsid w:val="00B9727D"/>
    <w:rsid w:val="00BC218C"/>
    <w:rsid w:val="00BD6B9F"/>
    <w:rsid w:val="00BF4916"/>
    <w:rsid w:val="00BF5EB2"/>
    <w:rsid w:val="00C11C80"/>
    <w:rsid w:val="00C64657"/>
    <w:rsid w:val="00C945CE"/>
    <w:rsid w:val="00D32810"/>
    <w:rsid w:val="00D601AE"/>
    <w:rsid w:val="00D64FDB"/>
    <w:rsid w:val="00D76DC2"/>
    <w:rsid w:val="00E80B87"/>
    <w:rsid w:val="00EC47EF"/>
    <w:rsid w:val="00EF0024"/>
    <w:rsid w:val="00F20593"/>
    <w:rsid w:val="00F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29C5"/>
  <w15:docId w15:val="{D03DBED3-D8E8-4EE8-A69C-D3FF5B8F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D5B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D5B56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CB29C4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B29C4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8B0E11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ahom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B29C4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A73B9"/>
    <w:pPr>
      <w:ind w:left="720"/>
      <w:contextualSpacing/>
    </w:pPr>
  </w:style>
  <w:style w:type="numbering" w:customStyle="1" w:styleId="20503433171">
    <w:name w:val="20503433171"/>
    <w:qFormat/>
  </w:style>
  <w:style w:type="character" w:styleId="Rimandonotaapidipagina">
    <w:name w:val="footnote reference"/>
    <w:basedOn w:val="Carpredefinitoparagrafo"/>
    <w:uiPriority w:val="99"/>
    <w:semiHidden/>
    <w:unhideWhenUsed/>
    <w:rsid w:val="00996C2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96C2C"/>
    <w:rPr>
      <w:color w:val="0563C1" w:themeColor="hyperlink"/>
      <w:u w:val="single"/>
    </w:rPr>
  </w:style>
  <w:style w:type="paragraph" w:customStyle="1" w:styleId="msonormal0">
    <w:name w:val="msonormal"/>
    <w:basedOn w:val="Normale"/>
    <w:rsid w:val="00F2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F20593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F2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1">
    <w:name w:val="xl71"/>
    <w:basedOn w:val="Normale"/>
    <w:rsid w:val="00BF5E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BF5EB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DDBC-0349-4222-8B69-9145BF73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10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EDiPasquale</dc:creator>
  <dc:description/>
  <cp:lastModifiedBy>EDiPasquale</cp:lastModifiedBy>
  <cp:revision>40</cp:revision>
  <dcterms:created xsi:type="dcterms:W3CDTF">2022-03-24T11:43:00Z</dcterms:created>
  <dcterms:modified xsi:type="dcterms:W3CDTF">2025-04-17T07:47:00Z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